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_GB2312" w:hAnsi="宋体" w:eastAsia="仿宋_GB2312" w:cs="宋体"/>
          <w:color w:val="auto"/>
          <w:kern w:val="2"/>
          <w:sz w:val="28"/>
          <w:szCs w:val="28"/>
          <w:lang w:val="en-US" w:eastAsia="zh-CN" w:bidi="ar-SA"/>
        </w:rPr>
      </w:pPr>
      <w:r>
        <w:rPr>
          <w:rFonts w:hint="eastAsia" w:ascii="仿宋_GB2312" w:hAnsi="宋体" w:eastAsia="仿宋_GB2312" w:cs="宋体"/>
          <w:color w:val="auto"/>
          <w:kern w:val="2"/>
          <w:sz w:val="28"/>
          <w:szCs w:val="28"/>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bCs/>
          <w:caps w:val="0"/>
          <w:color w:val="auto"/>
          <w:sz w:val="44"/>
          <w:szCs w:val="44"/>
          <w:highlight w:val="none"/>
          <w:lang w:eastAsia="zh-CN"/>
        </w:rPr>
      </w:pPr>
      <w:r>
        <w:rPr>
          <w:rFonts w:hint="eastAsia" w:ascii="仿宋" w:hAnsi="仿宋" w:eastAsia="仿宋" w:cs="仿宋"/>
          <w:b/>
          <w:bCs/>
          <w:color w:val="auto"/>
          <w:sz w:val="32"/>
          <w:szCs w:val="32"/>
          <w:lang w:eastAsia="zh-CN"/>
        </w:rPr>
        <w:t>山碎石采购合同</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eastAsia="方正仿宋_GBK" w:cs="Times New Roman"/>
          <w:cap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eastAsia" w:ascii="仿宋" w:hAnsi="仿宋" w:eastAsia="仿宋" w:cs="仿宋"/>
          <w:color w:val="auto"/>
          <w:sz w:val="28"/>
          <w:szCs w:val="28"/>
          <w:lang w:eastAsia="zh-CN"/>
        </w:rPr>
        <w:t>甲方（采购单位）：</w:t>
      </w:r>
      <w:r>
        <w:rPr>
          <w:rFonts w:hint="eastAsia" w:ascii="仿宋" w:hAnsi="仿宋" w:eastAsia="仿宋" w:cs="仿宋"/>
          <w:color w:val="auto"/>
          <w:sz w:val="28"/>
          <w:szCs w:val="28"/>
          <w:u w:val="single"/>
          <w:lang w:val="en-US" w:eastAsia="zh-CN"/>
        </w:rPr>
        <w:t>广安金都混凝土有限公司</w:t>
      </w:r>
      <w:r>
        <w:rPr>
          <w:rFonts w:hint="default" w:ascii="仿宋" w:hAnsi="仿宋" w:eastAsia="仿宋" w:cs="仿宋"/>
          <w:color w:val="auto"/>
          <w:sz w:val="28"/>
          <w:szCs w:val="28"/>
          <w:u w:val="single"/>
          <w:lang w:val="en-US" w:eastAsia="zh-CN"/>
        </w:rPr>
        <w:t xml:space="preserve"> </w:t>
      </w:r>
      <w:r>
        <w:rPr>
          <w:rFonts w:hint="default" w:ascii="仿宋" w:hAnsi="仿宋" w:eastAsia="仿宋" w:cs="仿宋"/>
          <w:color w:val="auto"/>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eastAsia" w:ascii="仿宋" w:hAnsi="仿宋" w:eastAsia="仿宋" w:cs="仿宋"/>
          <w:color w:val="auto"/>
          <w:sz w:val="28"/>
          <w:szCs w:val="28"/>
          <w:lang w:eastAsia="zh-CN"/>
        </w:rPr>
        <w:t>乙方（供应单位）：</w:t>
      </w:r>
      <w:r>
        <w:rPr>
          <w:rFonts w:hint="eastAsia" w:ascii="仿宋" w:hAnsi="仿宋" w:eastAsia="仿宋" w:cs="仿宋"/>
          <w:color w:val="auto"/>
          <w:sz w:val="28"/>
          <w:szCs w:val="28"/>
          <w:u w:val="single"/>
          <w:lang w:val="en-US" w:eastAsia="zh-CN"/>
        </w:rPr>
        <w:t xml:space="preserve">                       </w:t>
      </w:r>
      <w:r>
        <w:rPr>
          <w:rFonts w:hint="default" w:ascii="仿宋" w:hAnsi="仿宋" w:eastAsia="仿宋" w:cs="仿宋"/>
          <w:color w:val="auto"/>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val="en-US" w:eastAsia="zh-CN"/>
        </w:rPr>
        <w:t>根据《中华人民共和国民法典》</w:t>
      </w:r>
      <w:r>
        <w:rPr>
          <w:rFonts w:hint="eastAsia" w:ascii="仿宋" w:hAnsi="仿宋" w:eastAsia="仿宋" w:cs="仿宋"/>
          <w:color w:val="auto"/>
          <w:sz w:val="28"/>
          <w:szCs w:val="28"/>
          <w:lang w:val="en-US" w:eastAsia="zh-CN"/>
        </w:rPr>
        <w:t>规定</w:t>
      </w:r>
      <w:r>
        <w:rPr>
          <w:rFonts w:hint="default" w:ascii="仿宋" w:hAnsi="仿宋" w:eastAsia="仿宋" w:cs="仿宋"/>
          <w:color w:val="auto"/>
          <w:sz w:val="28"/>
          <w:szCs w:val="28"/>
          <w:lang w:val="en-US" w:eastAsia="zh-CN"/>
        </w:rPr>
        <w:t>，本着“互惠互利、平等公正”的原则，为了明确双方的责任、权利和义务等，经甲、乙双方友好协商，一致同意，现就乙方向甲方供应</w:t>
      </w:r>
      <w:r>
        <w:rPr>
          <w:rFonts w:hint="eastAsia" w:ascii="仿宋" w:hAnsi="仿宋" w:eastAsia="仿宋" w:cs="仿宋"/>
          <w:color w:val="auto"/>
          <w:sz w:val="28"/>
          <w:szCs w:val="28"/>
          <w:lang w:val="en-US" w:eastAsia="zh-CN"/>
        </w:rPr>
        <w:t>山碎石</w:t>
      </w:r>
      <w:r>
        <w:rPr>
          <w:rFonts w:hint="default" w:ascii="仿宋" w:hAnsi="仿宋" w:eastAsia="仿宋" w:cs="仿宋"/>
          <w:color w:val="auto"/>
          <w:sz w:val="28"/>
          <w:szCs w:val="28"/>
          <w:lang w:val="en-US" w:eastAsia="zh-CN"/>
        </w:rPr>
        <w:t>事宜，签订本合同，甲、乙双方</w:t>
      </w:r>
      <w:r>
        <w:rPr>
          <w:rFonts w:hint="default" w:ascii="仿宋" w:hAnsi="仿宋" w:eastAsia="仿宋" w:cs="仿宋"/>
          <w:color w:val="auto"/>
          <w:sz w:val="28"/>
          <w:szCs w:val="28"/>
          <w:lang w:eastAsia="zh-CN"/>
        </w:rPr>
        <w:t>同意共同遵守如下条款：</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一、货物名称、合同单价及数量</w:t>
      </w:r>
      <w:r>
        <w:rPr>
          <w:rFonts w:hint="default" w:ascii="仿宋" w:hAnsi="仿宋" w:eastAsia="仿宋" w:cs="仿宋"/>
          <w:color w:val="auto"/>
          <w:sz w:val="28"/>
          <w:szCs w:val="28"/>
          <w:lang w:val="en-US" w:eastAsia="zh-CN"/>
        </w:rPr>
        <w:t xml:space="preserve">  </w:t>
      </w:r>
    </w:p>
    <w:tbl>
      <w:tblPr>
        <w:tblStyle w:val="5"/>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1440"/>
        <w:gridCol w:w="2768"/>
        <w:gridCol w:w="1438"/>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18" w:type="dxa"/>
            <w:noWrap w:val="0"/>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原料名称</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规格型号</w:t>
            </w:r>
          </w:p>
        </w:tc>
        <w:tc>
          <w:tcPr>
            <w:tcW w:w="2768" w:type="dxa"/>
            <w:noWrap w:val="0"/>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供应</w:t>
            </w:r>
            <w:r>
              <w:rPr>
                <w:rFonts w:hint="default" w:ascii="仿宋" w:hAnsi="仿宋" w:eastAsia="仿宋" w:cs="仿宋"/>
                <w:color w:val="auto"/>
                <w:sz w:val="28"/>
                <w:szCs w:val="28"/>
                <w:lang w:val="en-US" w:eastAsia="zh-CN"/>
              </w:rPr>
              <w:t>数量</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含税</w:t>
            </w:r>
            <w:r>
              <w:rPr>
                <w:rFonts w:hint="default" w:ascii="仿宋" w:hAnsi="仿宋" w:eastAsia="仿宋" w:cs="仿宋"/>
                <w:color w:val="auto"/>
                <w:sz w:val="28"/>
                <w:szCs w:val="28"/>
                <w:lang w:val="en-US" w:eastAsia="zh-CN"/>
              </w:rPr>
              <w:t>单价</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山碎石</w:t>
            </w:r>
          </w:p>
        </w:tc>
        <w:tc>
          <w:tcPr>
            <w:tcW w:w="14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16-25mm</w:t>
            </w:r>
          </w:p>
        </w:tc>
        <w:tc>
          <w:tcPr>
            <w:tcW w:w="27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以实际供货数量为准</w:t>
            </w:r>
          </w:p>
        </w:tc>
        <w:tc>
          <w:tcPr>
            <w:tcW w:w="14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u w:val="none"/>
                <w:lang w:val="en-US" w:eastAsia="zh-CN"/>
              </w:rPr>
              <w:t>82</w:t>
            </w:r>
            <w:r>
              <w:rPr>
                <w:rFonts w:hint="default" w:ascii="仿宋" w:hAnsi="仿宋" w:eastAsia="仿宋" w:cs="仿宋"/>
                <w:color w:val="auto"/>
                <w:sz w:val="28"/>
                <w:szCs w:val="28"/>
                <w:u w:val="none"/>
                <w:lang w:val="en-US" w:eastAsia="zh-CN"/>
              </w:rPr>
              <w:t>元/</w:t>
            </w:r>
            <w:r>
              <w:rPr>
                <w:rFonts w:hint="default" w:ascii="仿宋" w:hAnsi="仿宋" w:eastAsia="仿宋" w:cs="仿宋"/>
                <w:color w:val="auto"/>
                <w:sz w:val="28"/>
                <w:szCs w:val="28"/>
                <w:lang w:val="en-US" w:eastAsia="zh-CN"/>
              </w:rPr>
              <w:t>吨</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default" w:ascii="仿宋" w:hAnsi="仿宋" w:eastAsia="仿宋" w:cs="仿宋"/>
                <w:color w:val="0000FF"/>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山碎石</w:t>
            </w:r>
          </w:p>
        </w:tc>
        <w:tc>
          <w:tcPr>
            <w:tcW w:w="14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color w:val="auto"/>
                <w:kern w:val="2"/>
                <w:sz w:val="28"/>
                <w:szCs w:val="28"/>
                <w:lang w:val="en-US" w:eastAsia="zh-CN" w:bidi="ar-SA"/>
              </w:rPr>
            </w:pPr>
            <w:r>
              <w:rPr>
                <w:rFonts w:hint="default" w:ascii="仿宋" w:hAnsi="仿宋" w:eastAsia="仿宋" w:cs="仿宋"/>
                <w:color w:val="auto"/>
                <w:sz w:val="28"/>
                <w:szCs w:val="28"/>
                <w:lang w:val="en-US" w:eastAsia="zh-CN"/>
              </w:rPr>
              <w:t>16-25mm</w:t>
            </w:r>
          </w:p>
        </w:tc>
        <w:tc>
          <w:tcPr>
            <w:tcW w:w="27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以实际供货数量为准</w:t>
            </w:r>
          </w:p>
        </w:tc>
        <w:tc>
          <w:tcPr>
            <w:tcW w:w="14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u w:val="none"/>
                <w:lang w:val="en-US" w:eastAsia="zh-CN"/>
              </w:rPr>
              <w:t>75</w:t>
            </w:r>
            <w:r>
              <w:rPr>
                <w:rFonts w:hint="default" w:ascii="仿宋" w:hAnsi="仿宋" w:eastAsia="仿宋" w:cs="仿宋"/>
                <w:color w:val="auto"/>
                <w:sz w:val="28"/>
                <w:szCs w:val="28"/>
                <w:u w:val="none"/>
                <w:lang w:val="en-US" w:eastAsia="zh-CN"/>
              </w:rPr>
              <w:t>元/</w:t>
            </w:r>
            <w:r>
              <w:rPr>
                <w:rFonts w:hint="default" w:ascii="仿宋" w:hAnsi="仿宋" w:eastAsia="仿宋" w:cs="仿宋"/>
                <w:color w:val="auto"/>
                <w:sz w:val="28"/>
                <w:szCs w:val="28"/>
                <w:lang w:val="en-US" w:eastAsia="zh-CN"/>
              </w:rPr>
              <w:t>吨</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广联华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山碎石</w:t>
            </w:r>
          </w:p>
        </w:tc>
        <w:tc>
          <w:tcPr>
            <w:tcW w:w="14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5-16</w:t>
            </w:r>
            <w:r>
              <w:rPr>
                <w:rFonts w:hint="default" w:ascii="仿宋" w:hAnsi="仿宋" w:eastAsia="仿宋" w:cs="仿宋"/>
                <w:color w:val="auto"/>
                <w:sz w:val="28"/>
                <w:szCs w:val="28"/>
                <w:lang w:val="en-US" w:eastAsia="zh-CN"/>
              </w:rPr>
              <w:t>mm</w:t>
            </w:r>
          </w:p>
        </w:tc>
        <w:tc>
          <w:tcPr>
            <w:tcW w:w="27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以实际供货数量为准</w:t>
            </w:r>
          </w:p>
        </w:tc>
        <w:tc>
          <w:tcPr>
            <w:tcW w:w="14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u w:val="none"/>
                <w:lang w:val="en-US" w:eastAsia="zh-CN"/>
              </w:rPr>
              <w:t>70</w:t>
            </w:r>
            <w:r>
              <w:rPr>
                <w:rFonts w:hint="default" w:ascii="仿宋" w:hAnsi="仿宋" w:eastAsia="仿宋" w:cs="仿宋"/>
                <w:color w:val="auto"/>
                <w:sz w:val="28"/>
                <w:szCs w:val="28"/>
                <w:lang w:val="en-US" w:eastAsia="zh-CN"/>
              </w:rPr>
              <w:t>元/吨</w:t>
            </w:r>
          </w:p>
        </w:tc>
        <w:tc>
          <w:tcPr>
            <w:tcW w:w="1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default" w:ascii="仿宋" w:hAnsi="仿宋" w:eastAsia="仿宋" w:cs="仿宋"/>
                <w:color w:val="0000FF"/>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94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备注：</w:t>
            </w:r>
            <w:r>
              <w:rPr>
                <w:rFonts w:hint="default" w:ascii="仿宋" w:hAnsi="仿宋" w:eastAsia="仿宋" w:cs="仿宋"/>
                <w:color w:val="auto"/>
                <w:sz w:val="28"/>
                <w:szCs w:val="28"/>
                <w:lang w:val="en-US" w:eastAsia="zh-CN"/>
              </w:rPr>
              <w:t>实际供货数量根据</w:t>
            </w:r>
            <w:r>
              <w:rPr>
                <w:rFonts w:hint="eastAsia" w:ascii="仿宋" w:hAnsi="仿宋" w:eastAsia="仿宋" w:cs="仿宋"/>
                <w:color w:val="auto"/>
                <w:sz w:val="28"/>
                <w:szCs w:val="28"/>
                <w:lang w:val="en-US" w:eastAsia="zh-CN"/>
              </w:rPr>
              <w:t>甲方通知为准，以甲方实际收货数量据实结算；</w:t>
            </w:r>
            <w:r>
              <w:rPr>
                <w:rFonts w:hint="default" w:ascii="仿宋" w:hAnsi="仿宋" w:eastAsia="仿宋" w:cs="仿宋"/>
                <w:color w:val="auto"/>
                <w:sz w:val="28"/>
                <w:szCs w:val="28"/>
                <w:lang w:val="en-US" w:eastAsia="zh-CN"/>
              </w:rPr>
              <w:t>合同单价为含税到场价，包含</w:t>
            </w:r>
            <w:r>
              <w:rPr>
                <w:rFonts w:hint="eastAsia" w:ascii="仿宋" w:hAnsi="仿宋" w:eastAsia="仿宋" w:cs="仿宋"/>
                <w:color w:val="auto"/>
                <w:sz w:val="28"/>
                <w:szCs w:val="28"/>
                <w:lang w:val="en-US" w:eastAsia="zh-CN"/>
              </w:rPr>
              <w:t>原材料、</w:t>
            </w:r>
            <w:r>
              <w:rPr>
                <w:rFonts w:hint="default" w:ascii="仿宋" w:hAnsi="仿宋" w:eastAsia="仿宋" w:cs="仿宋"/>
                <w:color w:val="auto"/>
                <w:sz w:val="28"/>
                <w:szCs w:val="28"/>
                <w:lang w:val="en-US" w:eastAsia="zh-CN"/>
              </w:rPr>
              <w:t>税金、利润、运费、装卸等完成本项目工作的一切费用；具体税率根据国家税收政策实时调整</w:t>
            </w:r>
            <w:r>
              <w:rPr>
                <w:rFonts w:hint="eastAsia" w:ascii="仿宋" w:hAnsi="仿宋" w:eastAsia="仿宋" w:cs="仿宋"/>
                <w:color w:val="auto"/>
                <w:sz w:val="28"/>
                <w:szCs w:val="28"/>
                <w:lang w:val="en-US" w:eastAsia="zh-CN"/>
              </w:rPr>
              <w:t>；供货地点为</w:t>
            </w:r>
            <w:r>
              <w:rPr>
                <w:rFonts w:hint="default" w:ascii="仿宋" w:hAnsi="仿宋" w:eastAsia="仿宋" w:cs="仿宋"/>
                <w:color w:val="auto"/>
                <w:sz w:val="28"/>
                <w:szCs w:val="28"/>
                <w:lang w:val="en-US" w:eastAsia="zh-CN"/>
              </w:rPr>
              <w:t>广安金都混凝土有限公司厂址</w:t>
            </w:r>
            <w:r>
              <w:rPr>
                <w:rFonts w:hint="eastAsia" w:ascii="仿宋" w:hAnsi="仿宋" w:eastAsia="仿宋" w:cs="仿宋"/>
                <w:color w:val="auto"/>
                <w:sz w:val="28"/>
                <w:szCs w:val="28"/>
                <w:lang w:val="en-US" w:eastAsia="zh-CN"/>
              </w:rPr>
              <w:t>，即广安市奎阁工业园</w:t>
            </w:r>
            <w:r>
              <w:rPr>
                <w:rFonts w:hint="default" w:ascii="仿宋" w:hAnsi="仿宋" w:eastAsia="仿宋" w:cs="仿宋"/>
                <w:color w:val="auto"/>
                <w:sz w:val="28"/>
                <w:szCs w:val="28"/>
                <w:lang w:val="en-US" w:eastAsia="zh-CN"/>
              </w:rPr>
              <w:t>。</w:t>
            </w:r>
          </w:p>
        </w:tc>
      </w:tr>
    </w:tbl>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二、</w:t>
      </w:r>
      <w:r>
        <w:rPr>
          <w:rFonts w:hint="eastAsia" w:ascii="仿宋" w:hAnsi="仿宋" w:eastAsia="仿宋" w:cs="仿宋"/>
          <w:color w:val="auto"/>
          <w:sz w:val="28"/>
          <w:szCs w:val="28"/>
          <w:lang w:val="en-US" w:eastAsia="zh-CN"/>
        </w:rPr>
        <w:t>砂石</w:t>
      </w:r>
      <w:r>
        <w:rPr>
          <w:rFonts w:hint="default" w:ascii="仿宋" w:hAnsi="仿宋" w:eastAsia="仿宋" w:cs="仿宋"/>
          <w:color w:val="auto"/>
          <w:sz w:val="28"/>
          <w:szCs w:val="28"/>
          <w:lang w:val="en-US" w:eastAsia="zh-CN"/>
        </w:rPr>
        <w:t>质量技术验收进场内控要求</w:t>
      </w:r>
    </w:p>
    <w:tbl>
      <w:tblPr>
        <w:tblStyle w:val="5"/>
        <w:tblW w:w="85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15"/>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4515" w:type="dxa"/>
            <w:noWrap w:val="0"/>
            <w:vAlign w:val="center"/>
          </w:tcPr>
          <w:p>
            <w:pPr>
              <w:widowControl/>
              <w:spacing w:line="52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产品名称</w:t>
            </w:r>
          </w:p>
        </w:tc>
        <w:tc>
          <w:tcPr>
            <w:tcW w:w="4000" w:type="dxa"/>
            <w:noWrap w:val="0"/>
            <w:vAlign w:val="center"/>
          </w:tcPr>
          <w:p>
            <w:pPr>
              <w:widowControl/>
              <w:spacing w:line="52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山碎石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4515" w:type="dxa"/>
            <w:noWrap w:val="0"/>
            <w:vAlign w:val="center"/>
          </w:tcPr>
          <w:p>
            <w:pPr>
              <w:widowControl/>
              <w:spacing w:line="52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产地</w:t>
            </w:r>
          </w:p>
        </w:tc>
        <w:tc>
          <w:tcPr>
            <w:tcW w:w="4000" w:type="dxa"/>
            <w:noWrap w:val="0"/>
            <w:vAlign w:val="center"/>
          </w:tcPr>
          <w:p>
            <w:pPr>
              <w:widowControl/>
              <w:spacing w:line="52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4515" w:type="dxa"/>
            <w:noWrap w:val="0"/>
            <w:vAlign w:val="center"/>
          </w:tcPr>
          <w:p>
            <w:pPr>
              <w:widowControl/>
              <w:spacing w:line="52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参数标准</w:t>
            </w:r>
          </w:p>
        </w:tc>
        <w:tc>
          <w:tcPr>
            <w:tcW w:w="4000" w:type="dxa"/>
            <w:noWrap w:val="0"/>
            <w:vAlign w:val="center"/>
          </w:tcPr>
          <w:p>
            <w:pPr>
              <w:widowControl/>
              <w:spacing w:line="52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符合</w:t>
            </w:r>
            <w:r>
              <w:rPr>
                <w:rFonts w:hint="eastAsia" w:ascii="仿宋" w:hAnsi="仿宋" w:eastAsia="仿宋" w:cs="仿宋"/>
                <w:color w:val="auto"/>
                <w:sz w:val="28"/>
                <w:szCs w:val="28"/>
                <w:lang w:val="en-US" w:eastAsia="zh-CN"/>
              </w:rPr>
              <w:t>GB/T14685-2011相关规定及以下内控指标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4515" w:type="dxa"/>
            <w:noWrap w:val="0"/>
            <w:vAlign w:val="center"/>
          </w:tcPr>
          <w:p>
            <w:pPr>
              <w:widowControl/>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指标</w:t>
            </w:r>
          </w:p>
        </w:tc>
        <w:tc>
          <w:tcPr>
            <w:tcW w:w="4000" w:type="dxa"/>
            <w:noWrap w:val="0"/>
            <w:vAlign w:val="center"/>
          </w:tcPr>
          <w:p>
            <w:pPr>
              <w:widowControl/>
              <w:spacing w:line="52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4515" w:type="dxa"/>
            <w:noWrap w:val="0"/>
            <w:vAlign w:val="center"/>
          </w:tcPr>
          <w:p>
            <w:pPr>
              <w:widowControl/>
              <w:spacing w:line="52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颗粒级配</w:t>
            </w:r>
          </w:p>
        </w:tc>
        <w:tc>
          <w:tcPr>
            <w:tcW w:w="4000" w:type="dxa"/>
            <w:noWrap w:val="0"/>
            <w:vAlign w:val="center"/>
          </w:tcPr>
          <w:p>
            <w:pPr>
              <w:widowControl/>
              <w:spacing w:line="520" w:lineRule="exact"/>
              <w:jc w:val="center"/>
              <w:textAlignment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符合</w:t>
            </w:r>
            <w:r>
              <w:rPr>
                <w:rFonts w:hint="eastAsia" w:ascii="仿宋" w:hAnsi="仿宋" w:eastAsia="仿宋" w:cs="仿宋"/>
                <w:color w:val="auto"/>
                <w:sz w:val="28"/>
                <w:szCs w:val="28"/>
                <w:lang w:val="en-US" w:eastAsia="zh-CN"/>
              </w:rPr>
              <w:t>GB/T14685-2011相关规定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4515" w:type="dxa"/>
            <w:noWrap w:val="0"/>
            <w:vAlign w:val="center"/>
          </w:tcPr>
          <w:p>
            <w:pPr>
              <w:widowControl/>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含泥量（按质量计）/%</w:t>
            </w:r>
          </w:p>
        </w:tc>
        <w:tc>
          <w:tcPr>
            <w:tcW w:w="4000" w:type="dxa"/>
            <w:noWrap w:val="0"/>
            <w:vAlign w:val="center"/>
          </w:tcPr>
          <w:p>
            <w:pPr>
              <w:widowControl/>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4515" w:type="dxa"/>
            <w:noWrap w:val="0"/>
            <w:vAlign w:val="center"/>
          </w:tcPr>
          <w:p>
            <w:pPr>
              <w:widowControl/>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泥块含量（按质量计）/%</w:t>
            </w:r>
          </w:p>
        </w:tc>
        <w:tc>
          <w:tcPr>
            <w:tcW w:w="4000" w:type="dxa"/>
            <w:noWrap w:val="0"/>
            <w:vAlign w:val="center"/>
          </w:tcPr>
          <w:p>
            <w:pPr>
              <w:widowControl/>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4515" w:type="dxa"/>
            <w:noWrap w:val="0"/>
            <w:vAlign w:val="center"/>
          </w:tcPr>
          <w:p>
            <w:pPr>
              <w:widowControl/>
              <w:spacing w:line="52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针片状颗粒总含量</w:t>
            </w:r>
            <w:r>
              <w:rPr>
                <w:rFonts w:hint="eastAsia" w:ascii="仿宋" w:hAnsi="仿宋" w:eastAsia="仿宋" w:cs="仿宋"/>
                <w:color w:val="auto"/>
                <w:sz w:val="28"/>
                <w:szCs w:val="28"/>
              </w:rPr>
              <w:t>（按质量计）/%</w:t>
            </w:r>
          </w:p>
        </w:tc>
        <w:tc>
          <w:tcPr>
            <w:tcW w:w="4000" w:type="dxa"/>
            <w:noWrap w:val="0"/>
            <w:vAlign w:val="center"/>
          </w:tcPr>
          <w:p>
            <w:pPr>
              <w:widowControl/>
              <w:spacing w:line="520" w:lineRule="exact"/>
              <w:jc w:val="center"/>
              <w:textAlignment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4515" w:type="dxa"/>
            <w:noWrap w:val="0"/>
            <w:vAlign w:val="center"/>
          </w:tcPr>
          <w:p>
            <w:pPr>
              <w:widowControl/>
              <w:spacing w:line="52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压碎指标</w:t>
            </w:r>
            <w:r>
              <w:rPr>
                <w:rFonts w:hint="eastAsia" w:ascii="仿宋" w:hAnsi="仿宋" w:eastAsia="仿宋" w:cs="仿宋"/>
                <w:color w:val="auto"/>
                <w:sz w:val="28"/>
                <w:szCs w:val="28"/>
              </w:rPr>
              <w:t>/%</w:t>
            </w:r>
          </w:p>
        </w:tc>
        <w:tc>
          <w:tcPr>
            <w:tcW w:w="4000" w:type="dxa"/>
            <w:noWrap w:val="0"/>
            <w:vAlign w:val="center"/>
          </w:tcPr>
          <w:p>
            <w:pPr>
              <w:widowControl/>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4515" w:type="dxa"/>
            <w:noWrap w:val="0"/>
            <w:vAlign w:val="center"/>
          </w:tcPr>
          <w:p>
            <w:pPr>
              <w:widowControl/>
              <w:spacing w:line="520" w:lineRule="exact"/>
              <w:jc w:val="center"/>
              <w:textAlignment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表观密度</w:t>
            </w:r>
            <w:r>
              <w:rPr>
                <w:rFonts w:hint="eastAsia" w:ascii="仿宋" w:hAnsi="仿宋" w:eastAsia="仿宋" w:cs="仿宋"/>
                <w:color w:val="auto"/>
                <w:sz w:val="28"/>
                <w:szCs w:val="28"/>
                <w:lang w:val="en-US" w:eastAsia="zh-CN"/>
              </w:rPr>
              <w:t>/kg/m³</w:t>
            </w:r>
          </w:p>
        </w:tc>
        <w:tc>
          <w:tcPr>
            <w:tcW w:w="4000" w:type="dxa"/>
            <w:noWrap w:val="0"/>
            <w:vAlign w:val="center"/>
          </w:tcPr>
          <w:p>
            <w:pPr>
              <w:widowControl/>
              <w:spacing w:line="520" w:lineRule="exact"/>
              <w:jc w:val="center"/>
              <w:textAlignment w:val="center"/>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4515" w:type="dxa"/>
            <w:noWrap w:val="0"/>
            <w:vAlign w:val="center"/>
          </w:tcPr>
          <w:p>
            <w:pPr>
              <w:widowControl/>
              <w:spacing w:line="52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孔隙率</w:t>
            </w:r>
            <w:r>
              <w:rPr>
                <w:rFonts w:hint="eastAsia" w:ascii="仿宋" w:hAnsi="仿宋" w:eastAsia="仿宋" w:cs="仿宋"/>
                <w:color w:val="auto"/>
                <w:sz w:val="28"/>
                <w:szCs w:val="28"/>
              </w:rPr>
              <w:t>/%</w:t>
            </w:r>
          </w:p>
        </w:tc>
        <w:tc>
          <w:tcPr>
            <w:tcW w:w="4000" w:type="dxa"/>
            <w:noWrap w:val="0"/>
            <w:vAlign w:val="center"/>
          </w:tcPr>
          <w:p>
            <w:pPr>
              <w:widowControl/>
              <w:spacing w:line="520" w:lineRule="exact"/>
              <w:jc w:val="center"/>
              <w:textAlignment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4515" w:type="dxa"/>
            <w:noWrap w:val="0"/>
            <w:vAlign w:val="center"/>
          </w:tcPr>
          <w:p>
            <w:pPr>
              <w:widowControl/>
              <w:spacing w:line="520" w:lineRule="exact"/>
              <w:jc w:val="center"/>
              <w:textAlignment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山碎石型号规格</w:t>
            </w:r>
          </w:p>
        </w:tc>
        <w:tc>
          <w:tcPr>
            <w:tcW w:w="4000" w:type="dxa"/>
            <w:noWrap w:val="0"/>
            <w:vAlign w:val="center"/>
          </w:tcPr>
          <w:p>
            <w:pPr>
              <w:widowControl/>
              <w:spacing w:line="520" w:lineRule="exact"/>
              <w:jc w:val="center"/>
              <w:textAlignment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5mm-16mm；16mm-25mm</w:t>
            </w:r>
          </w:p>
        </w:tc>
      </w:tr>
    </w:tbl>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三、合同履行时间、地点及验收方式</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u w:val="single"/>
          <w:lang w:val="en-US" w:eastAsia="zh-CN"/>
        </w:rPr>
      </w:pPr>
      <w:r>
        <w:rPr>
          <w:rFonts w:hint="default" w:ascii="仿宋" w:hAnsi="仿宋" w:eastAsia="仿宋" w:cs="仿宋"/>
          <w:color w:val="auto"/>
          <w:sz w:val="28"/>
          <w:szCs w:val="28"/>
          <w:lang w:val="en-US" w:eastAsia="zh-CN"/>
        </w:rPr>
        <w:t>（一）合同履行时间：</w:t>
      </w:r>
      <w:r>
        <w:rPr>
          <w:rFonts w:hint="eastAsia" w:ascii="仿宋" w:hAnsi="仿宋" w:eastAsia="仿宋" w:cs="仿宋"/>
          <w:color w:val="auto"/>
          <w:sz w:val="28"/>
          <w:szCs w:val="28"/>
          <w:u w:val="single"/>
          <w:lang w:val="en-US" w:eastAsia="zh-CN"/>
        </w:rPr>
        <w:t>暂定为签订合同之日起至3个月或者所征集砂石材料总金额达到200万元止，具体供应期限以甲方通知为准</w:t>
      </w:r>
      <w:r>
        <w:rPr>
          <w:rFonts w:hint="default" w:ascii="仿宋" w:hAnsi="仿宋" w:eastAsia="仿宋" w:cs="仿宋"/>
          <w:color w:val="auto"/>
          <w:sz w:val="28"/>
          <w:szCs w:val="28"/>
          <w:u w:val="single"/>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u w:val="single"/>
          <w:lang w:val="en-US" w:eastAsia="zh-CN"/>
        </w:rPr>
      </w:pPr>
      <w:r>
        <w:rPr>
          <w:rFonts w:hint="default" w:ascii="仿宋" w:hAnsi="仿宋" w:eastAsia="仿宋" w:cs="仿宋"/>
          <w:color w:val="auto"/>
          <w:sz w:val="28"/>
          <w:szCs w:val="28"/>
          <w:lang w:val="en-US" w:eastAsia="zh-CN"/>
        </w:rPr>
        <w:t>（二）供货地点：</w:t>
      </w:r>
      <w:r>
        <w:rPr>
          <w:rFonts w:hint="eastAsia" w:ascii="仿宋" w:hAnsi="仿宋" w:eastAsia="仿宋" w:cs="仿宋"/>
          <w:color w:val="auto"/>
          <w:sz w:val="28"/>
          <w:szCs w:val="28"/>
          <w:u w:val="single"/>
          <w:lang w:val="en-US" w:eastAsia="zh-CN"/>
        </w:rPr>
        <w:t>甲方</w:t>
      </w:r>
      <w:r>
        <w:rPr>
          <w:rFonts w:hint="default" w:ascii="仿宋" w:hAnsi="仿宋" w:eastAsia="仿宋" w:cs="仿宋"/>
          <w:color w:val="auto"/>
          <w:sz w:val="28"/>
          <w:szCs w:val="28"/>
          <w:u w:val="single"/>
          <w:lang w:val="en-US" w:eastAsia="zh-CN"/>
        </w:rPr>
        <w:t>指定地点（广安市奎阁工业园广安金都混凝土有限公司厂址）。</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（三）验收方式：</w:t>
      </w:r>
      <w:r>
        <w:rPr>
          <w:rFonts w:hint="default" w:ascii="仿宋" w:hAnsi="仿宋" w:eastAsia="仿宋" w:cs="仿宋"/>
          <w:b/>
          <w:bCs/>
          <w:color w:val="auto"/>
          <w:sz w:val="28"/>
          <w:szCs w:val="28"/>
          <w:lang w:val="en-US" w:eastAsia="zh-CN"/>
        </w:rPr>
        <w:t>货物送达</w:t>
      </w:r>
      <w:r>
        <w:rPr>
          <w:rFonts w:hint="eastAsia" w:ascii="仿宋" w:hAnsi="仿宋" w:eastAsia="仿宋" w:cs="仿宋"/>
          <w:b/>
          <w:bCs/>
          <w:color w:val="auto"/>
          <w:sz w:val="28"/>
          <w:szCs w:val="28"/>
          <w:lang w:val="en-US" w:eastAsia="zh-CN"/>
        </w:rPr>
        <w:t>供货</w:t>
      </w:r>
      <w:r>
        <w:rPr>
          <w:rFonts w:hint="default" w:ascii="仿宋" w:hAnsi="仿宋" w:eastAsia="仿宋" w:cs="仿宋"/>
          <w:b/>
          <w:bCs/>
          <w:color w:val="auto"/>
          <w:sz w:val="28"/>
          <w:szCs w:val="28"/>
          <w:lang w:val="en-US" w:eastAsia="zh-CN"/>
        </w:rPr>
        <w:t>地点后，严格按照</w:t>
      </w:r>
      <w:r>
        <w:rPr>
          <w:rFonts w:hint="eastAsia" w:ascii="仿宋" w:hAnsi="仿宋" w:eastAsia="仿宋" w:cs="仿宋"/>
          <w:b/>
          <w:bCs/>
          <w:color w:val="auto"/>
          <w:sz w:val="28"/>
          <w:szCs w:val="28"/>
          <w:lang w:val="en-US" w:eastAsia="zh-CN"/>
        </w:rPr>
        <w:t>本合同第二条约定</w:t>
      </w:r>
      <w:r>
        <w:rPr>
          <w:rFonts w:hint="default" w:ascii="仿宋" w:hAnsi="仿宋" w:eastAsia="仿宋" w:cs="仿宋"/>
          <w:b/>
          <w:bCs/>
          <w:color w:val="auto"/>
          <w:sz w:val="28"/>
          <w:szCs w:val="28"/>
          <w:lang w:val="en-US" w:eastAsia="zh-CN"/>
        </w:rPr>
        <w:t>进行验收</w:t>
      </w:r>
      <w:r>
        <w:rPr>
          <w:rFonts w:hint="eastAsia" w:ascii="仿宋" w:hAnsi="仿宋" w:eastAsia="仿宋" w:cs="仿宋"/>
          <w:b/>
          <w:bCs/>
          <w:color w:val="auto"/>
          <w:sz w:val="28"/>
          <w:szCs w:val="28"/>
          <w:lang w:val="en-US" w:eastAsia="zh-CN"/>
        </w:rPr>
        <w:t>；为明确区分广联华及外地碎石材料，因广联华只能标吨运输，故标吨运输车辆所供山碎石（16-25mm）需提供出厂相关证明，所供广联华山碎石（16-25mm）材料需提供广联华出厂磅单，所供外地山碎石（16-25mm）材料需提供石场出厂磅单及高速路过路费相关证明</w:t>
      </w:r>
      <w:r>
        <w:rPr>
          <w:rFonts w:hint="default" w:ascii="仿宋" w:hAnsi="仿宋" w:eastAsia="仿宋" w:cs="仿宋"/>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四、合同计量及结算方式</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（一）计量方式：乙方所供货物应提供供货单并加盖公司鲜章，货物送到</w:t>
      </w:r>
      <w:r>
        <w:rPr>
          <w:rFonts w:hint="eastAsia" w:ascii="仿宋" w:hAnsi="仿宋" w:eastAsia="仿宋" w:cs="仿宋"/>
          <w:color w:val="auto"/>
          <w:sz w:val="28"/>
          <w:szCs w:val="28"/>
          <w:lang w:val="en-US" w:eastAsia="zh-CN"/>
        </w:rPr>
        <w:t>供货地点后</w:t>
      </w:r>
      <w:r>
        <w:rPr>
          <w:rFonts w:hint="default" w:ascii="仿宋" w:hAnsi="仿宋" w:eastAsia="仿宋" w:cs="仿宋"/>
          <w:color w:val="auto"/>
          <w:sz w:val="28"/>
          <w:szCs w:val="28"/>
          <w:lang w:val="en-US" w:eastAsia="zh-CN"/>
        </w:rPr>
        <w:t>须过磅，供货数量以</w:t>
      </w:r>
      <w:r>
        <w:rPr>
          <w:rFonts w:hint="eastAsia" w:ascii="仿宋" w:hAnsi="仿宋" w:eastAsia="仿宋" w:cs="仿宋"/>
          <w:color w:val="auto"/>
          <w:sz w:val="28"/>
          <w:szCs w:val="28"/>
          <w:lang w:val="en-US" w:eastAsia="zh-CN"/>
        </w:rPr>
        <w:t>甲方</w:t>
      </w:r>
      <w:r>
        <w:rPr>
          <w:rFonts w:hint="default" w:ascii="仿宋" w:hAnsi="仿宋" w:eastAsia="仿宋" w:cs="仿宋"/>
          <w:color w:val="auto"/>
          <w:sz w:val="28"/>
          <w:szCs w:val="28"/>
          <w:lang w:val="en-US" w:eastAsia="zh-CN"/>
        </w:rPr>
        <w:t>过磅数据为准，乙方司机在甲方过磅单上签字确认实际供货数量，</w:t>
      </w:r>
      <w:r>
        <w:rPr>
          <w:rFonts w:hint="eastAsia" w:ascii="仿宋" w:hAnsi="仿宋" w:eastAsia="仿宋" w:cs="仿宋"/>
          <w:color w:val="auto"/>
          <w:sz w:val="28"/>
          <w:szCs w:val="28"/>
          <w:lang w:val="en-US" w:eastAsia="zh-CN"/>
        </w:rPr>
        <w:t>并作为双方的</w:t>
      </w:r>
      <w:r>
        <w:rPr>
          <w:rFonts w:hint="default" w:ascii="仿宋" w:hAnsi="仿宋" w:eastAsia="仿宋" w:cs="仿宋"/>
          <w:color w:val="auto"/>
          <w:sz w:val="28"/>
          <w:szCs w:val="28"/>
          <w:lang w:val="en-US" w:eastAsia="zh-CN"/>
        </w:rPr>
        <w:t>结算数量。</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（二）</w:t>
      </w:r>
      <w:r>
        <w:rPr>
          <w:rFonts w:hint="default" w:ascii="仿宋" w:hAnsi="仿宋" w:eastAsia="仿宋" w:cs="仿宋"/>
          <w:color w:val="auto"/>
          <w:sz w:val="28"/>
          <w:szCs w:val="28"/>
          <w:lang w:eastAsia="zh-CN"/>
        </w:rPr>
        <w:t>结算方式：乙方依据甲方过磅单上的供货数量据实结算，结算周期为每月26日至次月25日，双方于每月26日后对上月账单进行核算，核算无误后乙方提供符合甲方要求的增值税普通发票、对账单等结算资料，甲方收到符合要求的结算资料后，</w:t>
      </w:r>
      <w:r>
        <w:rPr>
          <w:rFonts w:hint="eastAsia" w:ascii="仿宋" w:hAnsi="仿宋" w:eastAsia="仿宋" w:cs="仿宋"/>
          <w:color w:val="auto"/>
          <w:sz w:val="28"/>
          <w:szCs w:val="28"/>
          <w:lang w:eastAsia="zh-CN"/>
        </w:rPr>
        <w:t>于下月</w:t>
      </w:r>
      <w:r>
        <w:rPr>
          <w:rFonts w:hint="eastAsia" w:ascii="仿宋" w:hAnsi="仿宋" w:eastAsia="仿宋" w:cs="仿宋"/>
          <w:color w:val="auto"/>
          <w:sz w:val="28"/>
          <w:szCs w:val="28"/>
          <w:lang w:val="en-US" w:eastAsia="zh-CN"/>
        </w:rPr>
        <w:t>15日后</w:t>
      </w:r>
      <w:r>
        <w:rPr>
          <w:rFonts w:hint="default" w:ascii="仿宋" w:hAnsi="仿宋" w:eastAsia="仿宋" w:cs="仿宋"/>
          <w:color w:val="auto"/>
          <w:sz w:val="28"/>
          <w:szCs w:val="28"/>
          <w:lang w:eastAsia="zh-CN"/>
        </w:rPr>
        <w:t>通过银行转账方式</w:t>
      </w:r>
      <w:r>
        <w:rPr>
          <w:rFonts w:hint="eastAsia" w:ascii="仿宋" w:hAnsi="仿宋" w:eastAsia="仿宋" w:cs="仿宋"/>
          <w:color w:val="auto"/>
          <w:sz w:val="28"/>
          <w:szCs w:val="28"/>
          <w:lang w:eastAsia="zh-CN"/>
        </w:rPr>
        <w:t>支付</w:t>
      </w:r>
      <w:r>
        <w:rPr>
          <w:rFonts w:hint="default" w:ascii="仿宋" w:hAnsi="仿宋" w:eastAsia="仿宋" w:cs="仿宋"/>
          <w:color w:val="auto"/>
          <w:sz w:val="28"/>
          <w:szCs w:val="28"/>
          <w:lang w:eastAsia="zh-CN"/>
        </w:rPr>
        <w:t>至乙方账户。</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五、调价原则</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合同期间内，</w:t>
      </w:r>
      <w:r>
        <w:rPr>
          <w:rFonts w:hint="eastAsia" w:ascii="仿宋" w:hAnsi="仿宋" w:eastAsia="仿宋" w:cs="仿宋"/>
          <w:color w:val="auto"/>
          <w:sz w:val="28"/>
          <w:szCs w:val="28"/>
          <w:lang w:val="zh-CN" w:eastAsia="zh-CN"/>
        </w:rPr>
        <w:t>若遇砂石市场发生变化，甲方则根据市场实际情况调整收购单价，具体收购单价以甲方最近一期网上发布公开征集公告的征集单价为准。</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六、履约保证金</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zh-CN" w:eastAsia="zh-CN"/>
        </w:rPr>
        <w:t>（一）履约保证金：人民币</w:t>
      </w:r>
      <w:r>
        <w:rPr>
          <w:rFonts w:hint="eastAsia" w:ascii="方正仿宋_GBK" w:hAnsi="方正仿宋_GBK" w:eastAsia="方正仿宋_GBK" w:cs="方正仿宋_GBK"/>
          <w:color w:val="auto"/>
          <w:sz w:val="28"/>
          <w:szCs w:val="28"/>
          <w:lang w:val="en-US" w:eastAsia="zh-CN"/>
        </w:rPr>
        <w:t>¥10</w:t>
      </w:r>
      <w:r>
        <w:rPr>
          <w:rFonts w:hint="default" w:ascii="仿宋" w:hAnsi="仿宋" w:eastAsia="仿宋" w:cs="仿宋"/>
          <w:color w:val="auto"/>
          <w:sz w:val="28"/>
          <w:szCs w:val="28"/>
          <w:lang w:val="en-US" w:eastAsia="zh-CN"/>
        </w:rPr>
        <w:t>000元（大写：人民币</w:t>
      </w:r>
      <w:r>
        <w:rPr>
          <w:rFonts w:hint="eastAsia" w:ascii="仿宋" w:hAnsi="仿宋" w:eastAsia="仿宋" w:cs="仿宋"/>
          <w:color w:val="auto"/>
          <w:sz w:val="28"/>
          <w:szCs w:val="28"/>
          <w:lang w:val="en-US" w:eastAsia="zh-CN"/>
        </w:rPr>
        <w:t>壹万</w:t>
      </w:r>
      <w:r>
        <w:rPr>
          <w:rFonts w:hint="default" w:ascii="仿宋" w:hAnsi="仿宋" w:eastAsia="仿宋" w:cs="仿宋"/>
          <w:color w:val="auto"/>
          <w:sz w:val="28"/>
          <w:szCs w:val="28"/>
          <w:lang w:val="en-US" w:eastAsia="zh-CN"/>
        </w:rPr>
        <w:t>元整）。</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（二）履约担保的有效期：合同履行期限内，履约担保一直有效。</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zh-CN" w:eastAsia="zh-CN"/>
        </w:rPr>
        <w:t>（三）履约保证金退还：</w:t>
      </w:r>
      <w:r>
        <w:rPr>
          <w:rFonts w:hint="default" w:ascii="仿宋" w:hAnsi="仿宋" w:eastAsia="仿宋" w:cs="仿宋"/>
          <w:color w:val="auto"/>
          <w:sz w:val="28"/>
          <w:szCs w:val="28"/>
          <w:lang w:val="en-US" w:eastAsia="zh-CN"/>
        </w:rPr>
        <w:t>合同履行期满后，乙方供货完成且无任何</w:t>
      </w:r>
      <w:r>
        <w:rPr>
          <w:rFonts w:hint="default" w:ascii="仿宋" w:hAnsi="仿宋" w:eastAsia="仿宋" w:cs="仿宋"/>
          <w:color w:val="auto"/>
          <w:sz w:val="28"/>
          <w:szCs w:val="28"/>
          <w:lang w:val="zh-CN" w:eastAsia="zh-CN"/>
        </w:rPr>
        <w:t>质量、安全、环保等违约责任问题，由甲方于</w:t>
      </w:r>
      <w:r>
        <w:rPr>
          <w:rFonts w:hint="eastAsia" w:ascii="仿宋" w:hAnsi="仿宋" w:eastAsia="仿宋" w:cs="仿宋"/>
          <w:color w:val="auto"/>
          <w:sz w:val="28"/>
          <w:szCs w:val="28"/>
          <w:lang w:val="en-US" w:eastAsia="zh-CN"/>
        </w:rPr>
        <w:t>30</w:t>
      </w:r>
      <w:r>
        <w:rPr>
          <w:rFonts w:hint="default" w:ascii="仿宋" w:hAnsi="仿宋" w:eastAsia="仿宋" w:cs="仿宋"/>
          <w:color w:val="auto"/>
          <w:sz w:val="28"/>
          <w:szCs w:val="28"/>
          <w:lang w:val="zh-CN" w:eastAsia="zh-CN"/>
        </w:rPr>
        <w:t>日内无息退还至乙方账户。</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七、双方的权利和义务</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（一）甲方的权利和义务</w:t>
      </w:r>
      <w:r>
        <w:rPr>
          <w:rFonts w:hint="default"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1.甲方有权根据实际生产情况要求乙方保质保量供应</w:t>
      </w:r>
      <w:r>
        <w:rPr>
          <w:rFonts w:hint="eastAsia" w:ascii="仿宋" w:hAnsi="仿宋" w:eastAsia="仿宋" w:cs="仿宋"/>
          <w:color w:val="auto"/>
          <w:sz w:val="28"/>
          <w:szCs w:val="28"/>
          <w:lang w:val="en-US" w:eastAsia="zh-CN"/>
        </w:rPr>
        <w:t>货物</w:t>
      </w:r>
      <w:r>
        <w:rPr>
          <w:rFonts w:hint="default"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2.甲方有权拒收不符合质量技术验收进场内控要求的</w:t>
      </w:r>
      <w:r>
        <w:rPr>
          <w:rFonts w:hint="eastAsia" w:ascii="仿宋" w:hAnsi="仿宋" w:eastAsia="仿宋" w:cs="仿宋"/>
          <w:color w:val="auto"/>
          <w:sz w:val="28"/>
          <w:szCs w:val="28"/>
          <w:lang w:val="en-US" w:eastAsia="zh-CN"/>
        </w:rPr>
        <w:t>货物</w:t>
      </w:r>
      <w:r>
        <w:rPr>
          <w:rFonts w:hint="default"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3.乙方送货到场后，甲方负责协调卸货区域，保证场地内道路畅通。</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4.甲方应按合同结算方式支付货款。</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（二）乙方的权利和义务：</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1.乙方必须根据甲方要求保</w:t>
      </w:r>
      <w:r>
        <w:rPr>
          <w:rFonts w:hint="eastAsia" w:ascii="仿宋" w:hAnsi="仿宋" w:eastAsia="仿宋" w:cs="仿宋"/>
          <w:color w:val="auto"/>
          <w:sz w:val="28"/>
          <w:szCs w:val="28"/>
          <w:lang w:val="en-US" w:eastAsia="zh-CN"/>
        </w:rPr>
        <w:t>质、</w:t>
      </w:r>
      <w:r>
        <w:rPr>
          <w:rFonts w:hint="default" w:ascii="仿宋" w:hAnsi="仿宋" w:eastAsia="仿宋" w:cs="仿宋"/>
          <w:color w:val="auto"/>
          <w:sz w:val="28"/>
          <w:szCs w:val="28"/>
          <w:lang w:val="en-US" w:eastAsia="zh-CN"/>
        </w:rPr>
        <w:t>保量供应</w:t>
      </w:r>
      <w:r>
        <w:rPr>
          <w:rFonts w:hint="eastAsia" w:ascii="仿宋" w:hAnsi="仿宋" w:eastAsia="仿宋" w:cs="仿宋"/>
          <w:color w:val="auto"/>
          <w:sz w:val="28"/>
          <w:szCs w:val="28"/>
          <w:lang w:val="en-US" w:eastAsia="zh-CN"/>
        </w:rPr>
        <w:t>货物</w:t>
      </w:r>
      <w:r>
        <w:rPr>
          <w:rFonts w:hint="default"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2.乙方所供货物必须符合质量技术验收进场内控要求。</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3.甲方如未能按约定支付货款，乙方应以书面形式通知甲方，但不能单方面停止供货。</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4.乙方应遵守甲方公司安全规章制度，确保货物及人身安全。</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八、不可抗力事件处理</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合同期限内，如遇水灾、风灾、旱灾、地震、战争等不可抗力事件发生，以致不能履行合同或不能如期履行合同时，遭受不可抗力的一方应立即通知对方，并寄送有关权威机构出具的证明；因不可抗力事件不能履行合同的，根据不可抗力的影响，部分或全部免除责任；不可抗力事件延续30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九、违约责任</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（一）乙方根据甲方</w:t>
      </w:r>
      <w:r>
        <w:rPr>
          <w:rFonts w:hint="eastAsia" w:ascii="仿宋" w:hAnsi="仿宋" w:eastAsia="仿宋" w:cs="仿宋"/>
          <w:color w:val="auto"/>
          <w:sz w:val="28"/>
          <w:szCs w:val="28"/>
          <w:lang w:val="en-US" w:eastAsia="zh-CN"/>
        </w:rPr>
        <w:t>通知</w:t>
      </w:r>
      <w:r>
        <w:rPr>
          <w:rFonts w:hint="default" w:ascii="仿宋" w:hAnsi="仿宋" w:eastAsia="仿宋" w:cs="仿宋"/>
          <w:color w:val="auto"/>
          <w:sz w:val="28"/>
          <w:szCs w:val="28"/>
          <w:lang w:val="en-US" w:eastAsia="zh-CN"/>
        </w:rPr>
        <w:t>进行</w:t>
      </w:r>
      <w:r>
        <w:rPr>
          <w:rFonts w:hint="eastAsia" w:ascii="仿宋" w:hAnsi="仿宋" w:eastAsia="仿宋" w:cs="仿宋"/>
          <w:color w:val="auto"/>
          <w:sz w:val="28"/>
          <w:szCs w:val="28"/>
          <w:lang w:val="en-US" w:eastAsia="zh-CN"/>
        </w:rPr>
        <w:t>货物</w:t>
      </w:r>
      <w:r>
        <w:rPr>
          <w:rFonts w:hint="default" w:ascii="仿宋" w:hAnsi="仿宋" w:eastAsia="仿宋" w:cs="仿宋"/>
          <w:color w:val="auto"/>
          <w:sz w:val="28"/>
          <w:szCs w:val="28"/>
          <w:lang w:val="en-US" w:eastAsia="zh-CN"/>
        </w:rPr>
        <w:t>供应，甲方提前12小时以书面或电话形式通知乙方，乙方接到通知后，须按照甲方的要求积极备货并按时保质保量供应货物；若不能在规定时间内供货，</w:t>
      </w:r>
      <w:r>
        <w:rPr>
          <w:rFonts w:hint="eastAsia" w:ascii="仿宋" w:hAnsi="仿宋" w:eastAsia="仿宋" w:cs="仿宋"/>
          <w:color w:val="auto"/>
          <w:sz w:val="28"/>
          <w:szCs w:val="28"/>
          <w:lang w:val="en-US" w:eastAsia="zh-CN"/>
        </w:rPr>
        <w:t>视为</w:t>
      </w:r>
      <w:r>
        <w:rPr>
          <w:rFonts w:hint="default" w:ascii="仿宋" w:hAnsi="仿宋" w:eastAsia="仿宋" w:cs="仿宋"/>
          <w:color w:val="auto"/>
          <w:sz w:val="28"/>
          <w:szCs w:val="28"/>
          <w:lang w:val="en-US" w:eastAsia="zh-CN"/>
        </w:rPr>
        <w:t>供货违约，影响甲方工程施工造成的一切损失，由乙方负责赔偿，甲方有权每次扣除违约金人民币</w:t>
      </w:r>
      <w:r>
        <w:rPr>
          <w:rFonts w:hint="eastAsia" w:ascii="仿宋" w:hAnsi="仿宋" w:eastAsia="仿宋" w:cs="仿宋"/>
          <w:color w:val="auto"/>
          <w:sz w:val="28"/>
          <w:szCs w:val="28"/>
          <w:lang w:val="en-US" w:eastAsia="zh-CN"/>
        </w:rPr>
        <w:t>1000</w:t>
      </w:r>
      <w:r>
        <w:rPr>
          <w:rFonts w:hint="default" w:ascii="仿宋" w:hAnsi="仿宋" w:eastAsia="仿宋" w:cs="仿宋"/>
          <w:color w:val="auto"/>
          <w:sz w:val="28"/>
          <w:szCs w:val="28"/>
          <w:lang w:val="en-US" w:eastAsia="zh-CN"/>
        </w:rPr>
        <w:t>元</w:t>
      </w:r>
      <w:r>
        <w:rPr>
          <w:rFonts w:hint="eastAsia" w:ascii="仿宋" w:hAnsi="仿宋" w:eastAsia="仿宋" w:cs="仿宋"/>
          <w:color w:val="auto"/>
          <w:sz w:val="28"/>
          <w:szCs w:val="28"/>
          <w:lang w:val="en-US" w:eastAsia="zh-CN"/>
        </w:rPr>
        <w:t>至5000</w:t>
      </w:r>
      <w:r>
        <w:rPr>
          <w:rFonts w:hint="default" w:ascii="仿宋" w:hAnsi="仿宋" w:eastAsia="仿宋" w:cs="仿宋"/>
          <w:color w:val="auto"/>
          <w:sz w:val="28"/>
          <w:szCs w:val="28"/>
          <w:lang w:val="en-US" w:eastAsia="zh-CN"/>
        </w:rPr>
        <w:t>元不等（可优先从</w:t>
      </w:r>
      <w:r>
        <w:rPr>
          <w:rFonts w:hint="eastAsia" w:ascii="仿宋" w:hAnsi="仿宋" w:eastAsia="仿宋" w:cs="仿宋"/>
          <w:color w:val="auto"/>
          <w:sz w:val="28"/>
          <w:szCs w:val="28"/>
          <w:lang w:val="en-US" w:eastAsia="zh-CN"/>
        </w:rPr>
        <w:t>履约保证金或</w:t>
      </w:r>
      <w:r>
        <w:rPr>
          <w:rFonts w:hint="default" w:ascii="仿宋" w:hAnsi="仿宋" w:eastAsia="仿宋" w:cs="仿宋"/>
          <w:color w:val="auto"/>
          <w:sz w:val="28"/>
          <w:szCs w:val="28"/>
          <w:lang w:val="en-US" w:eastAsia="zh-CN"/>
        </w:rPr>
        <w:t>货款中予以扣除），累计3次，甲方有权解除合同</w:t>
      </w:r>
      <w:r>
        <w:rPr>
          <w:rFonts w:hint="eastAsia" w:ascii="仿宋" w:hAnsi="仿宋" w:eastAsia="仿宋" w:cs="仿宋"/>
          <w:color w:val="auto"/>
          <w:sz w:val="28"/>
          <w:szCs w:val="28"/>
          <w:lang w:val="en-US" w:eastAsia="zh-CN"/>
        </w:rPr>
        <w:t>；若甲方未通知乙方供货，或乙方不按甲方要求供货，甲方有权拒收乙方所供货物</w:t>
      </w:r>
      <w:r>
        <w:rPr>
          <w:rFonts w:hint="default"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（二）乙方采用汽车运输方式运至</w:t>
      </w:r>
      <w:r>
        <w:rPr>
          <w:rFonts w:hint="eastAsia" w:ascii="仿宋" w:hAnsi="仿宋" w:eastAsia="仿宋" w:cs="仿宋"/>
          <w:color w:val="auto"/>
          <w:sz w:val="28"/>
          <w:szCs w:val="28"/>
          <w:lang w:val="en-US" w:eastAsia="zh-CN"/>
        </w:rPr>
        <w:t>供货</w:t>
      </w:r>
      <w:r>
        <w:rPr>
          <w:rFonts w:hint="default" w:ascii="仿宋" w:hAnsi="仿宋" w:eastAsia="仿宋" w:cs="仿宋"/>
          <w:color w:val="auto"/>
          <w:sz w:val="28"/>
          <w:szCs w:val="28"/>
          <w:lang w:val="en-US" w:eastAsia="zh-CN"/>
        </w:rPr>
        <w:t>地点，按照甲方要求装卸货，并负责承担运输、装卸等相关费用，</w:t>
      </w:r>
      <w:r>
        <w:rPr>
          <w:rFonts w:hint="eastAsia" w:ascii="仿宋" w:hAnsi="仿宋" w:eastAsia="仿宋" w:cs="仿宋"/>
          <w:color w:val="auto"/>
          <w:sz w:val="28"/>
          <w:szCs w:val="28"/>
          <w:lang w:val="en-US" w:eastAsia="zh-CN"/>
        </w:rPr>
        <w:t>乙方未按指示位置卸货，造成货物灭失、毁损的，乙方自行承担损失</w:t>
      </w:r>
      <w:r>
        <w:rPr>
          <w:rFonts w:hint="default"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（三）供货期间的运输安全、环保责任由乙方自行承担，若发生安全、环保、交通事故等，给双方及第三方造成的一切损害，由乙方承担全部责任，并赔偿一切损失。</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四）甲方严格按照质量技术验收进场内控要求进行验收，如乙方提供的货物质量验收不合格，甲方有权拒收此批货物，乙方应自费将不合格材料清理出场；若因乙方所供货物引发的一切质量问题，均由乙方承担全部责任，所造成的一切损失由乙方负责全额赔偿，</w:t>
      </w:r>
      <w:r>
        <w:rPr>
          <w:rFonts w:hint="eastAsia" w:ascii="仿宋" w:hAnsi="仿宋" w:eastAsia="仿宋" w:cs="仿宋"/>
          <w:color w:val="auto"/>
          <w:sz w:val="28"/>
          <w:szCs w:val="28"/>
          <w:lang w:val="en-US" w:eastAsia="zh-CN"/>
        </w:rPr>
        <w:t>包括但不限于对第三方承担的赔偿费用、诉讼费、律师费等费用；同时</w:t>
      </w:r>
      <w:r>
        <w:rPr>
          <w:rFonts w:hint="default" w:ascii="仿宋" w:hAnsi="仿宋" w:eastAsia="仿宋" w:cs="仿宋"/>
          <w:color w:val="auto"/>
          <w:sz w:val="28"/>
          <w:szCs w:val="28"/>
          <w:lang w:val="en-US" w:eastAsia="zh-CN"/>
        </w:rPr>
        <w:t>甲方有权扣除乙方人民币</w:t>
      </w:r>
      <w:r>
        <w:rPr>
          <w:rFonts w:hint="eastAsia" w:ascii="仿宋" w:hAnsi="仿宋" w:eastAsia="仿宋" w:cs="仿宋"/>
          <w:color w:val="auto"/>
          <w:sz w:val="28"/>
          <w:szCs w:val="28"/>
          <w:lang w:val="en-US" w:eastAsia="zh-CN"/>
        </w:rPr>
        <w:t>1</w:t>
      </w:r>
      <w:r>
        <w:rPr>
          <w:rFonts w:hint="default" w:ascii="仿宋" w:hAnsi="仿宋" w:eastAsia="仿宋" w:cs="仿宋"/>
          <w:color w:val="auto"/>
          <w:sz w:val="28"/>
          <w:szCs w:val="28"/>
          <w:lang w:val="en-US" w:eastAsia="zh-CN"/>
        </w:rPr>
        <w:t>0000元至</w:t>
      </w:r>
      <w:r>
        <w:rPr>
          <w:rFonts w:hint="eastAsia" w:ascii="仿宋" w:hAnsi="仿宋" w:eastAsia="仿宋" w:cs="仿宋"/>
          <w:color w:val="auto"/>
          <w:sz w:val="28"/>
          <w:szCs w:val="28"/>
          <w:lang w:val="en-US" w:eastAsia="zh-CN"/>
        </w:rPr>
        <w:t>5</w:t>
      </w:r>
      <w:r>
        <w:rPr>
          <w:rFonts w:hint="default" w:ascii="仿宋" w:hAnsi="仿宋" w:eastAsia="仿宋" w:cs="仿宋"/>
          <w:color w:val="auto"/>
          <w:sz w:val="28"/>
          <w:szCs w:val="28"/>
          <w:lang w:val="en-US" w:eastAsia="zh-CN"/>
        </w:rPr>
        <w:t>0000元不等的质量违约金（可优先从货款中予以扣除），</w:t>
      </w:r>
      <w:r>
        <w:rPr>
          <w:rFonts w:hint="eastAsia" w:ascii="仿宋" w:hAnsi="仿宋" w:eastAsia="仿宋" w:cs="仿宋"/>
          <w:color w:val="auto"/>
          <w:sz w:val="28"/>
          <w:szCs w:val="28"/>
          <w:lang w:val="en-US" w:eastAsia="zh-CN"/>
        </w:rPr>
        <w:t>且</w:t>
      </w:r>
      <w:r>
        <w:rPr>
          <w:rFonts w:hint="default" w:ascii="仿宋" w:hAnsi="仿宋" w:eastAsia="仿宋" w:cs="仿宋"/>
          <w:color w:val="auto"/>
          <w:sz w:val="28"/>
          <w:szCs w:val="28"/>
          <w:lang w:val="en-US" w:eastAsia="zh-CN"/>
        </w:rPr>
        <w:t>有权解除合同。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w:t>
      </w:r>
      <w:r>
        <w:rPr>
          <w:rFonts w:hint="eastAsia" w:ascii="仿宋" w:hAnsi="仿宋" w:eastAsia="仿宋" w:cs="仿宋"/>
          <w:color w:val="auto"/>
          <w:sz w:val="28"/>
          <w:szCs w:val="28"/>
          <w:lang w:val="en-US" w:eastAsia="zh-CN"/>
        </w:rPr>
        <w:t>五</w:t>
      </w:r>
      <w:r>
        <w:rPr>
          <w:rFonts w:hint="default" w:ascii="仿宋" w:hAnsi="仿宋" w:eastAsia="仿宋" w:cs="仿宋"/>
          <w:color w:val="auto"/>
          <w:sz w:val="28"/>
          <w:szCs w:val="28"/>
          <w:lang w:val="en-US" w:eastAsia="zh-CN"/>
        </w:rPr>
        <w:t>）若乙方未按照合同要求履行合同，乙方将承担相应的违约责任</w:t>
      </w:r>
      <w:r>
        <w:rPr>
          <w:rFonts w:hint="eastAsia" w:ascii="仿宋" w:hAnsi="仿宋" w:eastAsia="仿宋" w:cs="仿宋"/>
          <w:color w:val="auto"/>
          <w:sz w:val="28"/>
          <w:szCs w:val="28"/>
          <w:lang w:val="en-US" w:eastAsia="zh-CN"/>
        </w:rPr>
        <w:t>，</w:t>
      </w:r>
      <w:r>
        <w:rPr>
          <w:rFonts w:hint="default" w:ascii="仿宋" w:hAnsi="仿宋" w:eastAsia="仿宋" w:cs="仿宋"/>
          <w:color w:val="auto"/>
          <w:sz w:val="28"/>
          <w:szCs w:val="28"/>
          <w:lang w:val="en-US" w:eastAsia="zh-CN"/>
        </w:rPr>
        <w:t>甲方不予退还履约</w:t>
      </w:r>
      <w:r>
        <w:rPr>
          <w:rFonts w:hint="eastAsia" w:ascii="仿宋" w:hAnsi="仿宋" w:eastAsia="仿宋" w:cs="仿宋"/>
          <w:color w:val="auto"/>
          <w:sz w:val="28"/>
          <w:szCs w:val="28"/>
          <w:lang w:val="en-US" w:eastAsia="zh-CN"/>
        </w:rPr>
        <w:t>保证</w:t>
      </w:r>
      <w:r>
        <w:rPr>
          <w:rFonts w:hint="default" w:ascii="仿宋" w:hAnsi="仿宋" w:eastAsia="仿宋" w:cs="仿宋"/>
          <w:color w:val="auto"/>
          <w:sz w:val="28"/>
          <w:szCs w:val="28"/>
          <w:lang w:val="en-US" w:eastAsia="zh-CN"/>
        </w:rPr>
        <w:t>金，还应暂扣乙方货款，甲方于6个自然月后陆续支付货款至乙方账户。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w:t>
      </w:r>
      <w:r>
        <w:rPr>
          <w:rFonts w:hint="eastAsia" w:ascii="仿宋" w:hAnsi="仿宋" w:eastAsia="仿宋" w:cs="仿宋"/>
          <w:color w:val="auto"/>
          <w:sz w:val="28"/>
          <w:szCs w:val="28"/>
          <w:lang w:val="en-US" w:eastAsia="zh-CN"/>
        </w:rPr>
        <w:t>六</w:t>
      </w:r>
      <w:r>
        <w:rPr>
          <w:rFonts w:hint="default" w:ascii="仿宋" w:hAnsi="仿宋" w:eastAsia="仿宋" w:cs="仿宋"/>
          <w:color w:val="auto"/>
          <w:sz w:val="28"/>
          <w:szCs w:val="28"/>
          <w:lang w:val="en-US" w:eastAsia="zh-CN"/>
        </w:rPr>
        <w:t>）乙方应保证所供</w:t>
      </w:r>
      <w:r>
        <w:rPr>
          <w:rFonts w:hint="eastAsia" w:ascii="仿宋" w:hAnsi="仿宋" w:eastAsia="仿宋" w:cs="仿宋"/>
          <w:color w:val="auto"/>
          <w:sz w:val="28"/>
          <w:szCs w:val="28"/>
          <w:lang w:val="en-US" w:eastAsia="zh-CN"/>
        </w:rPr>
        <w:t>材料</w:t>
      </w:r>
      <w:r>
        <w:rPr>
          <w:rFonts w:hint="default" w:ascii="仿宋" w:hAnsi="仿宋" w:eastAsia="仿宋" w:cs="仿宋"/>
          <w:color w:val="auto"/>
          <w:sz w:val="28"/>
          <w:szCs w:val="28"/>
          <w:lang w:val="en-US" w:eastAsia="zh-CN"/>
        </w:rPr>
        <w:t>不会产生因第三方提出侵犯其专利权、商标权或其它知识产权而引起的法律和经济纠纷，如因专利权、商标权或其它知识产权而引起法律和经济纠纷，由乙方承担所有相关责任。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十、其他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（一）本合同未尽事宜，双方可另行签订补充协议，补充协议与本合同具有同等法律效力。本合同生效后，双方应严格遵守，若因任何一方违约导致本合同终止，违约方应赔偿另一方的全部经济损失。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（二）本合同在履行过程中发生的争议，由双方当事人协商解决；协商不成的，任何一方可向甲方所在地人民法院起诉。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（三）</w:t>
      </w:r>
      <w:r>
        <w:rPr>
          <w:rFonts w:hint="eastAsia" w:ascii="仿宋" w:hAnsi="仿宋" w:eastAsia="仿宋" w:cs="仿宋"/>
          <w:color w:val="auto"/>
          <w:sz w:val="28"/>
          <w:szCs w:val="28"/>
          <w:lang w:val="en-US" w:eastAsia="zh-CN"/>
        </w:rPr>
        <w:t>本合同有效期内，乙方名称、负责人、住所等发生变化而未书面通知甲方时，甲方按发出文书工商备案登记所在住所向乙方发送的所有文书（包括法律文书），视同送达。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（四）</w:t>
      </w:r>
      <w:r>
        <w:rPr>
          <w:rFonts w:hint="default" w:ascii="仿宋" w:hAnsi="仿宋" w:eastAsia="仿宋" w:cs="仿宋"/>
          <w:color w:val="auto"/>
          <w:sz w:val="28"/>
          <w:szCs w:val="28"/>
          <w:lang w:val="en-US" w:eastAsia="zh-CN"/>
        </w:rPr>
        <w:t>本合同</w:t>
      </w:r>
      <w:r>
        <w:rPr>
          <w:rFonts w:hint="eastAsia" w:ascii="仿宋" w:hAnsi="仿宋" w:eastAsia="仿宋" w:cs="仿宋"/>
          <w:color w:val="auto"/>
          <w:sz w:val="28"/>
          <w:szCs w:val="28"/>
          <w:lang w:val="en-US" w:eastAsia="zh-CN"/>
        </w:rPr>
        <w:t>一式伍份，甲方执叁份，乙方执贰份，</w:t>
      </w:r>
      <w:r>
        <w:rPr>
          <w:rFonts w:hint="default" w:ascii="仿宋" w:hAnsi="仿宋" w:eastAsia="仿宋" w:cs="仿宋"/>
          <w:color w:val="auto"/>
          <w:sz w:val="28"/>
          <w:szCs w:val="28"/>
          <w:lang w:val="en-US" w:eastAsia="zh-CN"/>
        </w:rPr>
        <w:t>甲、乙双方法定代表人或其授权委托人签字盖章之日起生效。</w:t>
      </w:r>
    </w:p>
    <w:tbl>
      <w:tblPr>
        <w:tblStyle w:val="4"/>
        <w:tblpPr w:leftFromText="180" w:rightFromText="180" w:vertAnchor="page" w:horzAnchor="page" w:tblpX="1254" w:tblpY="10350"/>
        <w:tblW w:w="9330" w:type="dxa"/>
        <w:tblInd w:w="0" w:type="dxa"/>
        <w:tblLayout w:type="fixed"/>
        <w:tblCellMar>
          <w:top w:w="0" w:type="dxa"/>
          <w:left w:w="108" w:type="dxa"/>
          <w:bottom w:w="0" w:type="dxa"/>
          <w:right w:w="108" w:type="dxa"/>
        </w:tblCellMar>
      </w:tblPr>
      <w:tblGrid>
        <w:gridCol w:w="4632"/>
        <w:gridCol w:w="4698"/>
      </w:tblGrid>
      <w:tr>
        <w:tblPrEx>
          <w:tblCellMar>
            <w:top w:w="0" w:type="dxa"/>
            <w:left w:w="108" w:type="dxa"/>
            <w:bottom w:w="0" w:type="dxa"/>
            <w:right w:w="108" w:type="dxa"/>
          </w:tblCellMar>
        </w:tblPrEx>
        <w:trPr>
          <w:trHeight w:val="626" w:hRule="atLeast"/>
        </w:trPr>
        <w:tc>
          <w:tcPr>
            <w:tcW w:w="4632" w:type="dxa"/>
            <w:noWrap w:val="0"/>
            <w:vAlign w:val="top"/>
          </w:tcPr>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eastAsia="zh-CN"/>
              </w:rPr>
              <w:t>甲方:广安金都混凝土有限公司</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eastAsia="zh-CN"/>
              </w:rPr>
              <w:t>法定代表人</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eastAsia="zh-CN"/>
              </w:rPr>
              <w:t>或委托代理人：</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eastAsia="zh-CN"/>
              </w:rPr>
              <w:t>地 址：</w:t>
            </w:r>
            <w:r>
              <w:rPr>
                <w:rFonts w:hint="default" w:ascii="仿宋" w:hAnsi="仿宋" w:eastAsia="仿宋" w:cs="仿宋"/>
                <w:color w:val="auto"/>
                <w:sz w:val="28"/>
                <w:szCs w:val="28"/>
                <w:lang w:val="en-US" w:eastAsia="zh-CN"/>
              </w:rPr>
              <w:t>广安市奎阁工业园</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eastAsia="zh-CN"/>
              </w:rPr>
              <w:t>联系电话：</w:t>
            </w:r>
            <w:r>
              <w:rPr>
                <w:rFonts w:hint="default" w:ascii="仿宋" w:hAnsi="仿宋" w:eastAsia="仿宋" w:cs="仿宋"/>
                <w:color w:val="auto"/>
                <w:sz w:val="28"/>
                <w:szCs w:val="28"/>
                <w:lang w:val="en-US" w:eastAsia="zh-CN"/>
              </w:rPr>
              <w:t>0826-8862666</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4"/>
                <w:szCs w:val="24"/>
                <w:lang w:val="en-US" w:eastAsia="zh-CN"/>
              </w:rPr>
            </w:pPr>
            <w:r>
              <w:rPr>
                <w:rFonts w:hint="default" w:ascii="仿宋" w:hAnsi="仿宋" w:eastAsia="仿宋" w:cs="仿宋"/>
                <w:color w:val="auto"/>
                <w:sz w:val="28"/>
                <w:szCs w:val="28"/>
                <w:lang w:eastAsia="zh-CN"/>
              </w:rPr>
              <w:t>开户行：</w:t>
            </w:r>
            <w:r>
              <w:rPr>
                <w:rFonts w:hint="default" w:ascii="仿宋" w:hAnsi="仿宋" w:eastAsia="仿宋" w:cs="仿宋"/>
                <w:color w:val="auto"/>
                <w:sz w:val="24"/>
                <w:szCs w:val="24"/>
                <w:lang w:val="en-US" w:eastAsia="zh-CN"/>
              </w:rPr>
              <w:t>中国工商银行广安分行营业部</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eastAsia="zh-CN"/>
              </w:rPr>
              <w:t>账  号：</w:t>
            </w:r>
            <w:r>
              <w:rPr>
                <w:rFonts w:hint="default" w:ascii="仿宋" w:hAnsi="仿宋" w:eastAsia="仿宋" w:cs="仿宋"/>
                <w:color w:val="auto"/>
                <w:sz w:val="28"/>
                <w:szCs w:val="28"/>
                <w:lang w:val="en-US" w:eastAsia="zh-CN"/>
              </w:rPr>
              <w:t>2316 5521 0920 1049 163</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eastAsia="zh-CN"/>
              </w:rPr>
              <w:t>纳税识别码：</w:t>
            </w:r>
            <w:r>
              <w:rPr>
                <w:rFonts w:hint="default" w:ascii="仿宋" w:hAnsi="仿宋" w:eastAsia="仿宋" w:cs="仿宋"/>
                <w:color w:val="auto"/>
                <w:sz w:val="28"/>
                <w:szCs w:val="28"/>
                <w:lang w:val="en-US" w:eastAsia="zh-CN"/>
              </w:rPr>
              <w:t>91511600567630265W</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eastAsia="zh-CN"/>
              </w:rPr>
              <w:t>日  期：</w:t>
            </w:r>
            <w:r>
              <w:rPr>
                <w:rFonts w:hint="eastAsia" w:ascii="仿宋" w:hAnsi="仿宋" w:eastAsia="仿宋" w:cs="仿宋"/>
                <w:color w:val="auto"/>
                <w:sz w:val="28"/>
                <w:szCs w:val="28"/>
                <w:lang w:val="en-US" w:eastAsia="zh-CN"/>
              </w:rPr>
              <w:t xml:space="preserve">     </w:t>
            </w:r>
            <w:r>
              <w:rPr>
                <w:rFonts w:hint="default" w:ascii="仿宋" w:hAnsi="仿宋" w:eastAsia="仿宋" w:cs="仿宋"/>
                <w:color w:val="auto"/>
                <w:sz w:val="28"/>
                <w:szCs w:val="28"/>
                <w:lang w:eastAsia="zh-CN"/>
              </w:rPr>
              <w:t>年</w:t>
            </w:r>
            <w:r>
              <w:rPr>
                <w:rFonts w:hint="eastAsia" w:ascii="仿宋" w:hAnsi="仿宋" w:eastAsia="仿宋" w:cs="仿宋"/>
                <w:color w:val="auto"/>
                <w:sz w:val="28"/>
                <w:szCs w:val="28"/>
                <w:lang w:val="en-US" w:eastAsia="zh-CN"/>
              </w:rPr>
              <w:t xml:space="preserve">  </w:t>
            </w:r>
            <w:r>
              <w:rPr>
                <w:rFonts w:hint="default" w:ascii="仿宋" w:hAnsi="仿宋" w:eastAsia="仿宋" w:cs="仿宋"/>
                <w:color w:val="auto"/>
                <w:sz w:val="28"/>
                <w:szCs w:val="28"/>
                <w:lang w:eastAsia="zh-CN"/>
              </w:rPr>
              <w:t>月</w:t>
            </w:r>
            <w:r>
              <w:rPr>
                <w:rFonts w:hint="eastAsia" w:ascii="仿宋" w:hAnsi="仿宋" w:eastAsia="仿宋" w:cs="仿宋"/>
                <w:color w:val="auto"/>
                <w:sz w:val="28"/>
                <w:szCs w:val="28"/>
                <w:lang w:val="en-US" w:eastAsia="zh-CN"/>
              </w:rPr>
              <w:t xml:space="preserve">  </w:t>
            </w:r>
            <w:r>
              <w:rPr>
                <w:rFonts w:hint="default" w:ascii="仿宋" w:hAnsi="仿宋" w:eastAsia="仿宋" w:cs="仿宋"/>
                <w:color w:val="auto"/>
                <w:sz w:val="28"/>
                <w:szCs w:val="28"/>
                <w:lang w:eastAsia="zh-CN"/>
              </w:rPr>
              <w:t>日</w:t>
            </w:r>
          </w:p>
        </w:tc>
        <w:tc>
          <w:tcPr>
            <w:tcW w:w="4698" w:type="dxa"/>
            <w:noWrap w:val="0"/>
            <w:vAlign w:val="top"/>
          </w:tcPr>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eastAsia="zh-CN"/>
              </w:rPr>
              <w:t>乙方：</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eastAsia="zh-CN"/>
              </w:rPr>
              <w:t>法定代表人</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default" w:ascii="仿宋" w:hAnsi="仿宋" w:eastAsia="仿宋" w:cs="仿宋"/>
                <w:color w:val="auto"/>
                <w:sz w:val="28"/>
                <w:szCs w:val="28"/>
                <w:lang w:eastAsia="zh-CN"/>
              </w:rPr>
              <w:t>或委托代理人：</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eastAsia="zh-CN"/>
              </w:rPr>
              <w:t>地  址：</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eastAsia="zh-CN"/>
              </w:rPr>
              <w:t>联系电话:</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eastAsia="zh-CN"/>
              </w:rPr>
              <w:t>开户行：</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eastAsia="zh-CN"/>
              </w:rPr>
              <w:t>账  号：</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eastAsia="zh-CN"/>
              </w:rPr>
              <w:t>纳税识别码：</w:t>
            </w: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 xml:space="preserve"> </w:t>
            </w:r>
          </w:p>
        </w:tc>
      </w:tr>
    </w:tbl>
    <w:p>
      <w:pPr>
        <w:bidi w:val="0"/>
        <w:rPr>
          <w:rFonts w:hint="default"/>
          <w:kern w:val="2"/>
          <w:sz w:val="21"/>
          <w:szCs w:val="22"/>
          <w:lang w:val="en-US" w:eastAsia="zh-CN" w:bidi="ar-SA"/>
        </w:rPr>
      </w:pPr>
    </w:p>
    <w:p>
      <w:pPr>
        <w:bidi w:val="0"/>
        <w:rPr>
          <w:rFonts w:hint="default"/>
          <w:lang w:val="en-US" w:eastAsia="zh-CN"/>
        </w:rPr>
      </w:pPr>
    </w:p>
    <w:p>
      <w:pPr>
        <w:widowControl/>
        <w:spacing w:line="700" w:lineRule="exact"/>
        <w:jc w:val="center"/>
        <w:rPr>
          <w:rFonts w:hint="eastAsia" w:ascii="黑体" w:eastAsia="黑体"/>
        </w:rPr>
      </w:pPr>
      <w:r>
        <w:rPr>
          <w:rFonts w:hint="eastAsia" w:ascii="方正小标宋_GBK" w:hAnsi="方正小标宋_GBK" w:eastAsia="方正小标宋_GBK" w:cs="方正小标宋_GBK"/>
          <w:bCs/>
          <w:sz w:val="44"/>
          <w:szCs w:val="44"/>
          <w:lang w:eastAsia="zh-CN"/>
        </w:rPr>
        <w:t>原材料供货安全环保管理协议书</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p>
    <w:p>
      <w:pPr>
        <w:widowControl/>
        <w:shd w:val="clear" w:color="auto" w:fill="auto"/>
        <w:spacing w:line="276" w:lineRule="auto"/>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甲方：</w:t>
      </w:r>
      <w:r>
        <w:rPr>
          <w:rFonts w:hint="eastAsia" w:ascii="Times New Roman" w:hAnsi="Times New Roman" w:eastAsia="宋体" w:cs="Times New Roman"/>
          <w:bCs/>
          <w:color w:val="auto"/>
          <w:sz w:val="24"/>
          <w:szCs w:val="21"/>
          <w:highlight w:val="none"/>
          <w:u w:val="single"/>
          <w:shd w:val="clear" w:color="auto" w:fill="auto"/>
          <w:lang w:val="zh-CN"/>
        </w:rPr>
        <w:t>广安金都混凝</w:t>
      </w:r>
      <w:r>
        <w:rPr>
          <w:rFonts w:hint="eastAsia" w:ascii="Times New Roman" w:hAnsi="Times New Roman" w:cs="Times New Roman"/>
          <w:bCs/>
          <w:color w:val="auto"/>
          <w:sz w:val="24"/>
          <w:szCs w:val="21"/>
          <w:highlight w:val="none"/>
          <w:u w:val="single"/>
          <w:shd w:val="clear" w:color="auto" w:fill="auto"/>
          <w:lang w:val="zh-CN"/>
        </w:rPr>
        <w:t>土</w:t>
      </w:r>
      <w:r>
        <w:rPr>
          <w:rFonts w:hint="eastAsia" w:ascii="Times New Roman" w:hAnsi="Times New Roman" w:eastAsia="宋体" w:cs="Times New Roman"/>
          <w:bCs/>
          <w:color w:val="auto"/>
          <w:sz w:val="24"/>
          <w:szCs w:val="21"/>
          <w:highlight w:val="none"/>
          <w:u w:val="single"/>
          <w:shd w:val="clear" w:color="auto" w:fill="auto"/>
          <w:lang w:val="zh-CN"/>
        </w:rPr>
        <w:t>有限公司</w:t>
      </w:r>
    </w:p>
    <w:p>
      <w:pPr>
        <w:widowControl/>
        <w:shd w:val="clear" w:color="auto" w:fill="auto"/>
        <w:spacing w:line="276" w:lineRule="auto"/>
        <w:rPr>
          <w:rFonts w:hint="eastAsia" w:ascii="方正小标宋简体" w:hAnsi="方正小标宋简体" w:eastAsia="方正小标宋简体" w:cs="方正小标宋简体"/>
          <w:sz w:val="44"/>
          <w:szCs w:val="44"/>
          <w:lang w:eastAsia="zh-CN"/>
        </w:rPr>
      </w:pPr>
      <w:r>
        <w:rPr>
          <w:rFonts w:hint="eastAsia" w:ascii="Times New Roman" w:hAnsi="Times New Roman" w:eastAsia="宋体" w:cs="Times New Roman"/>
          <w:bCs/>
          <w:color w:val="auto"/>
          <w:sz w:val="24"/>
          <w:szCs w:val="21"/>
          <w:highlight w:val="none"/>
          <w:shd w:val="clear" w:color="auto" w:fill="auto"/>
          <w:lang w:val="zh-CN"/>
        </w:rPr>
        <w:t>乙方：</w:t>
      </w:r>
      <w:r>
        <w:rPr>
          <w:rFonts w:hint="eastAsia" w:ascii="Times New Roman" w:hAnsi="Times New Roman" w:cs="Times New Roman"/>
          <w:bCs/>
          <w:color w:val="auto"/>
          <w:sz w:val="24"/>
          <w:szCs w:val="21"/>
          <w:highlight w:val="none"/>
          <w:u w:val="single"/>
          <w:shd w:val="clear" w:color="auto" w:fill="auto"/>
          <w:lang w:val="en-US" w:eastAsia="zh-CN"/>
        </w:rPr>
        <w:t xml:space="preserve">                      </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根据《中华人民共和国安全生产法》《四川省安全生产条例》《中华人民共和国环境保护法》之规定，为进一步细化施工管理，明确相关方安全管理责任与权利，预防各类生产安全事故的发生，本着实事求是、平等自愿的原则，经友好协商签订本协议书。</w:t>
      </w:r>
    </w:p>
    <w:p>
      <w:pPr>
        <w:widowControl/>
        <w:shd w:val="clear" w:color="auto" w:fill="auto"/>
        <w:spacing w:line="276" w:lineRule="auto"/>
        <w:ind w:firstLine="480" w:firstLineChars="200"/>
        <w:rPr>
          <w:rFonts w:hint="default" w:ascii="Times New Roman" w:hAnsi="Times New Roman" w:eastAsia="宋体" w:cs="Times New Roman"/>
          <w:bCs/>
          <w:color w:val="auto"/>
          <w:sz w:val="24"/>
          <w:szCs w:val="21"/>
          <w:highlight w:val="none"/>
          <w:shd w:val="clear" w:color="auto" w:fill="auto"/>
          <w:lang w:val="en-US"/>
        </w:rPr>
      </w:pPr>
      <w:r>
        <w:rPr>
          <w:rFonts w:hint="eastAsia" w:ascii="Times New Roman" w:hAnsi="Times New Roman" w:eastAsia="宋体" w:cs="Times New Roman"/>
          <w:bCs/>
          <w:color w:val="auto"/>
          <w:sz w:val="24"/>
          <w:szCs w:val="21"/>
          <w:highlight w:val="none"/>
          <w:shd w:val="clear" w:color="auto" w:fill="auto"/>
          <w:lang w:val="zh-CN"/>
        </w:rPr>
        <w:t>第一条</w:t>
      </w:r>
      <w:r>
        <w:rPr>
          <w:rFonts w:hint="eastAsia" w:ascii="Times New Roman" w:hAnsi="Times New Roman" w:eastAsia="宋体" w:cs="Times New Roman"/>
          <w:bCs/>
          <w:color w:val="auto"/>
          <w:sz w:val="24"/>
          <w:szCs w:val="21"/>
          <w:highlight w:val="none"/>
          <w:shd w:val="clear" w:color="auto" w:fill="auto"/>
          <w:lang w:val="en-US" w:eastAsia="zh-CN"/>
        </w:rPr>
        <w:t xml:space="preserve"> </w:t>
      </w:r>
      <w:r>
        <w:rPr>
          <w:rFonts w:hint="eastAsia" w:ascii="Times New Roman" w:hAnsi="Times New Roman" w:eastAsia="宋体" w:cs="Times New Roman"/>
          <w:bCs/>
          <w:color w:val="auto"/>
          <w:sz w:val="24"/>
          <w:szCs w:val="21"/>
          <w:highlight w:val="none"/>
          <w:shd w:val="clear" w:color="auto" w:fill="auto"/>
          <w:lang w:val="en-US"/>
        </w:rPr>
        <w:t>甲、乙双方的权利与义务</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甲乙双方必须认真贯彻执行国家、地方有关安全环保、劳动保护、职业卫生、文明稳定等的法律、法规、规章、制度，加强生产安全管理，健全安全生产规章制度。</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一、甲方权利与义务</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（一）甲方权利</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en-US"/>
        </w:rPr>
        <w:t>1.</w:t>
      </w:r>
      <w:r>
        <w:rPr>
          <w:rFonts w:hint="eastAsia" w:ascii="Times New Roman" w:hAnsi="Times New Roman" w:eastAsia="宋体" w:cs="Times New Roman"/>
          <w:bCs/>
          <w:color w:val="auto"/>
          <w:sz w:val="24"/>
          <w:szCs w:val="21"/>
          <w:highlight w:val="none"/>
          <w:shd w:val="clear" w:color="auto" w:fill="auto"/>
          <w:lang w:val="zh-CN"/>
        </w:rPr>
        <w:t>甲方有权督促乙方遵守国家有关安全、环保的法规、标准和规章制度。</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en-US"/>
        </w:rPr>
        <w:t>2.</w:t>
      </w:r>
      <w:r>
        <w:rPr>
          <w:rFonts w:hint="eastAsia" w:ascii="Times New Roman" w:hAnsi="Times New Roman" w:eastAsia="宋体" w:cs="Times New Roman"/>
          <w:bCs/>
          <w:color w:val="auto"/>
          <w:sz w:val="24"/>
          <w:szCs w:val="21"/>
          <w:highlight w:val="none"/>
          <w:shd w:val="clear" w:color="auto" w:fill="auto"/>
          <w:lang w:val="zh-CN"/>
        </w:rPr>
        <w:t>甲方有权查验乙方的相关资质证书并要求提供复印件。</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en-US"/>
        </w:rPr>
        <w:t>3.</w:t>
      </w:r>
      <w:r>
        <w:rPr>
          <w:rFonts w:hint="eastAsia" w:ascii="Times New Roman" w:hAnsi="Times New Roman" w:eastAsia="宋体" w:cs="Times New Roman"/>
          <w:bCs/>
          <w:color w:val="auto"/>
          <w:sz w:val="24"/>
          <w:szCs w:val="21"/>
          <w:highlight w:val="none"/>
          <w:shd w:val="clear" w:color="auto" w:fill="auto"/>
          <w:lang w:val="zh-CN"/>
        </w:rPr>
        <w:t>甲方有权对乙方安全防范措施的落实情况进行监督、检查和不符合项进行考核。发现重大事故隐患、冒险作业行为的，有权制止和纠正；对风险较大的隐患或因乙方管理混乱不服从甲方现场监管的，甲方有权要求停止作业，并按合同给予相应的违约处罚。</w:t>
      </w:r>
    </w:p>
    <w:p>
      <w:pPr>
        <w:pStyle w:val="2"/>
        <w:rPr>
          <w:rFonts w:hint="default" w:eastAsia="宋体"/>
          <w:lang w:val="en-US" w:eastAsia="zh-CN"/>
        </w:rPr>
      </w:pPr>
      <w:r>
        <w:rPr>
          <w:rFonts w:hint="eastAsia" w:eastAsia="宋体" w:cs="Times New Roman"/>
          <w:bCs/>
          <w:color w:val="auto"/>
          <w:sz w:val="24"/>
          <w:szCs w:val="21"/>
          <w:highlight w:val="none"/>
          <w:shd w:val="clear" w:color="auto" w:fill="auto"/>
          <w:lang w:val="en-US" w:eastAsia="zh-CN"/>
        </w:rPr>
        <w:t>4.甲方有权对所有进场材料进行每车抽样检验，对质量不合符甲方要求的材料，甲方可以责令乙方清退出场。</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（二）甲方义务</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en-US"/>
        </w:rPr>
      </w:pPr>
      <w:r>
        <w:rPr>
          <w:rFonts w:hint="eastAsia" w:ascii="Times New Roman" w:hAnsi="Times New Roman" w:eastAsia="宋体" w:cs="Times New Roman"/>
          <w:bCs/>
          <w:color w:val="auto"/>
          <w:sz w:val="24"/>
          <w:szCs w:val="21"/>
          <w:highlight w:val="none"/>
          <w:shd w:val="clear" w:color="auto" w:fill="auto"/>
          <w:lang w:val="zh-CN"/>
        </w:rPr>
        <w:t>保证车辆入场的道路畅通，安排人员指挥运输车辆有序下料作业。</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二、乙方权利与义务</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（一）乙方权利</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en-US"/>
        </w:rPr>
      </w:pPr>
      <w:r>
        <w:rPr>
          <w:rFonts w:hint="eastAsia" w:ascii="Times New Roman" w:hAnsi="Times New Roman" w:eastAsia="宋体" w:cs="Times New Roman"/>
          <w:bCs/>
          <w:color w:val="auto"/>
          <w:sz w:val="24"/>
          <w:szCs w:val="21"/>
          <w:highlight w:val="none"/>
          <w:shd w:val="clear" w:color="auto" w:fill="auto"/>
          <w:lang w:val="en-US"/>
        </w:rPr>
        <w:t>1.乙方有权</w:t>
      </w:r>
      <w:r>
        <w:rPr>
          <w:rFonts w:hint="eastAsia" w:ascii="Times New Roman" w:hAnsi="Times New Roman" w:eastAsia="宋体" w:cs="Times New Roman"/>
          <w:bCs/>
          <w:color w:val="auto"/>
          <w:sz w:val="24"/>
          <w:szCs w:val="21"/>
          <w:highlight w:val="none"/>
          <w:shd w:val="clear" w:color="auto" w:fill="auto"/>
          <w:lang w:val="en-US" w:eastAsia="zh-CN"/>
        </w:rPr>
        <w:t>按照甲方工作人员指挥有序下料。</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en-US"/>
        </w:rPr>
      </w:pPr>
      <w:r>
        <w:rPr>
          <w:rFonts w:hint="eastAsia" w:ascii="Times New Roman" w:hAnsi="Times New Roman" w:eastAsia="宋体" w:cs="Times New Roman"/>
          <w:bCs/>
          <w:color w:val="auto"/>
          <w:sz w:val="24"/>
          <w:szCs w:val="21"/>
          <w:highlight w:val="none"/>
          <w:shd w:val="clear" w:color="auto" w:fill="auto"/>
          <w:lang w:val="en-US"/>
        </w:rPr>
        <w:t>2.乙方有权要求甲方</w:t>
      </w:r>
      <w:r>
        <w:rPr>
          <w:rFonts w:hint="eastAsia" w:ascii="Times New Roman" w:hAnsi="Times New Roman" w:eastAsia="宋体" w:cs="Times New Roman"/>
          <w:bCs/>
          <w:color w:val="auto"/>
          <w:sz w:val="24"/>
          <w:szCs w:val="21"/>
          <w:highlight w:val="none"/>
          <w:shd w:val="clear" w:color="auto" w:fill="auto"/>
          <w:lang w:val="en-US" w:eastAsia="zh-CN"/>
        </w:rPr>
        <w:t>进场道路保持畅通</w:t>
      </w:r>
      <w:r>
        <w:rPr>
          <w:rFonts w:hint="eastAsia" w:ascii="Times New Roman" w:hAnsi="Times New Roman" w:eastAsia="宋体" w:cs="Times New Roman"/>
          <w:bCs/>
          <w:color w:val="auto"/>
          <w:sz w:val="24"/>
          <w:szCs w:val="21"/>
          <w:highlight w:val="none"/>
          <w:shd w:val="clear" w:color="auto" w:fill="auto"/>
          <w:lang w:val="en-US"/>
        </w:rPr>
        <w:t>。</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（二）乙方的义务</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en-US"/>
        </w:rPr>
        <w:t>1.</w:t>
      </w:r>
      <w:r>
        <w:rPr>
          <w:rFonts w:hint="eastAsia" w:ascii="Times New Roman" w:hAnsi="Times New Roman" w:eastAsia="宋体" w:cs="Times New Roman"/>
          <w:bCs/>
          <w:color w:val="auto"/>
          <w:sz w:val="24"/>
          <w:szCs w:val="21"/>
          <w:highlight w:val="none"/>
          <w:shd w:val="clear" w:color="auto" w:fill="auto"/>
          <w:lang w:val="zh-CN"/>
        </w:rPr>
        <w:t>乙方应具备合法有效的营业执照及有效证件或资质证书等，乙方需对运输车辆的车辆行驶证、道路运输许可证以及驾驶人员的身份证、机动车辆驾驶证等进行检查，确保车辆及人员安全。</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2.验收时乙方部分原材料（如：水泥、</w:t>
      </w:r>
      <w:r>
        <w:rPr>
          <w:rFonts w:hint="eastAsia" w:ascii="Times New Roman" w:hAnsi="Times New Roman" w:eastAsia="宋体" w:cs="Times New Roman"/>
          <w:bCs/>
          <w:color w:val="auto"/>
          <w:sz w:val="24"/>
          <w:szCs w:val="21"/>
          <w:highlight w:val="none"/>
          <w:shd w:val="clear" w:color="auto" w:fill="auto"/>
          <w:lang w:val="en-US" w:eastAsia="zh-CN"/>
        </w:rPr>
        <w:t>S95矿粉等</w:t>
      </w:r>
      <w:r>
        <w:rPr>
          <w:rFonts w:hint="eastAsia" w:ascii="Times New Roman" w:hAnsi="Times New Roman" w:eastAsia="宋体" w:cs="Times New Roman"/>
          <w:bCs/>
          <w:color w:val="auto"/>
          <w:sz w:val="24"/>
          <w:szCs w:val="21"/>
          <w:highlight w:val="none"/>
          <w:shd w:val="clear" w:color="auto" w:fill="auto"/>
          <w:lang w:val="zh-CN"/>
        </w:rPr>
        <w:t>）必须提供产品合格证、检测报告等质量保证资料作为其验收的附件。</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3.乙方运输车辆在运输作业中必须采用有效的防护措施、遮盖严实，达到环保要求，若造成扬尘污染、抛洒污染或噪声污染，被有关部门处予行政罚款的，由乙方承担违规处罚费用及相应责任。</w:t>
      </w:r>
    </w:p>
    <w:p>
      <w:pPr>
        <w:widowControl/>
        <w:shd w:val="clear" w:color="auto" w:fill="auto"/>
        <w:spacing w:line="276" w:lineRule="auto"/>
        <w:ind w:firstLine="480" w:firstLineChars="200"/>
        <w:rPr>
          <w:rFonts w:hint="eastAsia" w:ascii="Times New Roman" w:hAnsi="Times New Roman" w:eastAsia="方正仿宋_GBK" w:cs="Times New Roman"/>
          <w:sz w:val="33"/>
          <w:szCs w:val="33"/>
          <w:u w:val="none"/>
          <w:lang w:val="en-US" w:eastAsia="zh-CN"/>
        </w:rPr>
      </w:pPr>
      <w:r>
        <w:rPr>
          <w:rFonts w:hint="eastAsia" w:ascii="Times New Roman" w:hAnsi="Times New Roman" w:eastAsia="宋体" w:cs="Times New Roman"/>
          <w:bCs/>
          <w:color w:val="auto"/>
          <w:sz w:val="24"/>
          <w:szCs w:val="21"/>
          <w:highlight w:val="none"/>
          <w:shd w:val="clear" w:color="auto" w:fill="auto"/>
          <w:lang w:val="zh-CN"/>
        </w:rPr>
        <w:t>4.进入甲方场地，乙方运输车辆必须服从甲方工作人员统一调度和指挥，严格遵守甲方的管理制度，积极维护现场的交通秩序，按照甲方现场人员指定的区域停车、待卸，不得乱停、乱靠、乱卸，保证施工现场道路的畅通和运输安全；若不听从指挥，因此所发生的安全事故或财产损失，由乙方承担全部责任并支付一切费用。</w:t>
      </w:r>
    </w:p>
    <w:p>
      <w:pPr>
        <w:widowControl/>
        <w:shd w:val="clear" w:color="auto" w:fill="auto"/>
        <w:spacing w:line="276" w:lineRule="auto"/>
        <w:ind w:firstLine="480" w:firstLineChars="200"/>
        <w:rPr>
          <w:rFonts w:hint="default" w:ascii="Times New Roman" w:hAnsi="Times New Roman" w:eastAsia="宋体" w:cs="Times New Roman"/>
          <w:bCs/>
          <w:color w:val="auto"/>
          <w:sz w:val="24"/>
          <w:szCs w:val="21"/>
          <w:highlight w:val="none"/>
          <w:shd w:val="clear" w:color="auto" w:fill="auto"/>
          <w:lang w:val="en-US" w:eastAsia="zh-CN"/>
        </w:rPr>
      </w:pPr>
      <w:r>
        <w:rPr>
          <w:rFonts w:hint="eastAsia" w:ascii="Times New Roman" w:hAnsi="Times New Roman" w:eastAsia="宋体" w:cs="Times New Roman"/>
          <w:bCs/>
          <w:color w:val="auto"/>
          <w:sz w:val="24"/>
          <w:szCs w:val="21"/>
          <w:highlight w:val="none"/>
          <w:shd w:val="clear" w:color="auto" w:fill="auto"/>
          <w:lang w:val="en-US" w:eastAsia="zh-CN"/>
        </w:rPr>
        <w:t>5</w:t>
      </w:r>
      <w:r>
        <w:rPr>
          <w:rFonts w:hint="default" w:ascii="Times New Roman" w:hAnsi="Times New Roman" w:eastAsia="宋体" w:cs="Times New Roman"/>
          <w:bCs/>
          <w:color w:val="auto"/>
          <w:sz w:val="24"/>
          <w:szCs w:val="21"/>
          <w:highlight w:val="none"/>
          <w:shd w:val="clear" w:color="auto" w:fill="auto"/>
          <w:lang w:val="en-US" w:eastAsia="zh-CN"/>
        </w:rPr>
        <w:t>.所有车辆进入厂区速度应控制在5KM/小时内，不能将车辆停放在斜坡上避免溜车，不能堵塞通行道路，上下磅秤应匀速慢性，先熄火再下车送票</w:t>
      </w:r>
      <w:r>
        <w:rPr>
          <w:rFonts w:hint="eastAsia" w:ascii="Times New Roman" w:hAnsi="Times New Roman" w:eastAsia="宋体" w:cs="Times New Roman"/>
          <w:bCs/>
          <w:color w:val="auto"/>
          <w:sz w:val="24"/>
          <w:szCs w:val="21"/>
          <w:highlight w:val="none"/>
          <w:shd w:val="clear" w:color="auto" w:fill="auto"/>
          <w:lang w:val="en-US" w:eastAsia="zh-CN"/>
        </w:rPr>
        <w:t>。</w:t>
      </w:r>
    </w:p>
    <w:p>
      <w:pPr>
        <w:widowControl/>
        <w:shd w:val="clear" w:color="auto" w:fill="auto"/>
        <w:spacing w:line="276" w:lineRule="auto"/>
        <w:ind w:firstLine="480" w:firstLineChars="200"/>
        <w:rPr>
          <w:rFonts w:hint="default" w:ascii="Times New Roman" w:hAnsi="Times New Roman" w:eastAsia="宋体" w:cs="Times New Roman"/>
          <w:bCs/>
          <w:color w:val="auto"/>
          <w:sz w:val="24"/>
          <w:szCs w:val="21"/>
          <w:highlight w:val="none"/>
          <w:shd w:val="clear" w:color="auto" w:fill="auto"/>
          <w:lang w:val="en-US" w:eastAsia="zh-CN"/>
        </w:rPr>
      </w:pPr>
      <w:r>
        <w:rPr>
          <w:rFonts w:hint="eastAsia" w:ascii="Times New Roman" w:hAnsi="Times New Roman" w:eastAsia="宋体" w:cs="Times New Roman"/>
          <w:bCs/>
          <w:color w:val="auto"/>
          <w:sz w:val="24"/>
          <w:szCs w:val="21"/>
          <w:highlight w:val="none"/>
          <w:shd w:val="clear" w:color="auto" w:fill="auto"/>
          <w:lang w:val="en-US" w:eastAsia="zh-CN"/>
        </w:rPr>
        <w:t>6</w:t>
      </w:r>
      <w:r>
        <w:rPr>
          <w:rFonts w:hint="default" w:ascii="Times New Roman" w:hAnsi="Times New Roman" w:eastAsia="宋体" w:cs="Times New Roman"/>
          <w:bCs/>
          <w:color w:val="auto"/>
          <w:sz w:val="24"/>
          <w:szCs w:val="21"/>
          <w:highlight w:val="none"/>
          <w:shd w:val="clear" w:color="auto" w:fill="auto"/>
          <w:lang w:val="en-US" w:eastAsia="zh-CN"/>
        </w:rPr>
        <w:t>.服从甲方公司统一调配，自觉配合门岗登记，服从材料人员安排，保持进出有序，避免拥挤造成安全事故</w:t>
      </w:r>
      <w:r>
        <w:rPr>
          <w:rFonts w:hint="eastAsia" w:ascii="Times New Roman" w:hAnsi="Times New Roman" w:eastAsia="宋体" w:cs="Times New Roman"/>
          <w:bCs/>
          <w:color w:val="auto"/>
          <w:sz w:val="24"/>
          <w:szCs w:val="21"/>
          <w:highlight w:val="none"/>
          <w:shd w:val="clear" w:color="auto" w:fill="auto"/>
          <w:lang w:val="en-US" w:eastAsia="zh-CN"/>
        </w:rPr>
        <w:t>。</w:t>
      </w:r>
    </w:p>
    <w:p>
      <w:pPr>
        <w:widowControl/>
        <w:shd w:val="clear" w:color="auto" w:fill="auto"/>
        <w:spacing w:line="276" w:lineRule="auto"/>
        <w:ind w:firstLine="480" w:firstLineChars="200"/>
        <w:rPr>
          <w:rFonts w:hint="default" w:ascii="Times New Roman" w:hAnsi="Times New Roman" w:eastAsia="宋体" w:cs="Times New Roman"/>
          <w:bCs/>
          <w:color w:val="auto"/>
          <w:sz w:val="24"/>
          <w:szCs w:val="21"/>
          <w:highlight w:val="none"/>
          <w:shd w:val="clear" w:color="auto" w:fill="auto"/>
          <w:lang w:val="en-US" w:eastAsia="zh-CN"/>
        </w:rPr>
      </w:pPr>
      <w:r>
        <w:rPr>
          <w:rFonts w:hint="eastAsia" w:ascii="Times New Roman" w:hAnsi="Times New Roman" w:eastAsia="宋体" w:cs="Times New Roman"/>
          <w:bCs/>
          <w:color w:val="auto"/>
          <w:sz w:val="24"/>
          <w:szCs w:val="21"/>
          <w:highlight w:val="none"/>
          <w:shd w:val="clear" w:color="auto" w:fill="auto"/>
          <w:lang w:val="en-US" w:eastAsia="zh-CN"/>
        </w:rPr>
        <w:t>7</w:t>
      </w:r>
      <w:r>
        <w:rPr>
          <w:rFonts w:hint="default" w:ascii="Times New Roman" w:hAnsi="Times New Roman" w:eastAsia="宋体" w:cs="Times New Roman"/>
          <w:bCs/>
          <w:color w:val="auto"/>
          <w:sz w:val="24"/>
          <w:szCs w:val="21"/>
          <w:highlight w:val="none"/>
          <w:shd w:val="clear" w:color="auto" w:fill="auto"/>
          <w:lang w:val="en-US" w:eastAsia="zh-CN"/>
        </w:rPr>
        <w:t>.材料车卸料时，驾驶员应观察四周，确保安全才能进行卸料，倒入小仓前要确认仓内是否有人作业，材料是否倒错</w:t>
      </w:r>
      <w:r>
        <w:rPr>
          <w:rFonts w:hint="eastAsia" w:ascii="Times New Roman" w:hAnsi="Times New Roman" w:eastAsia="宋体" w:cs="Times New Roman"/>
          <w:bCs/>
          <w:color w:val="auto"/>
          <w:sz w:val="24"/>
          <w:szCs w:val="21"/>
          <w:highlight w:val="none"/>
          <w:shd w:val="clear" w:color="auto" w:fill="auto"/>
          <w:lang w:val="en-US" w:eastAsia="zh-CN"/>
        </w:rPr>
        <w:t>。</w:t>
      </w:r>
    </w:p>
    <w:p>
      <w:pPr>
        <w:widowControl/>
        <w:shd w:val="clear" w:color="auto" w:fill="auto"/>
        <w:spacing w:line="276" w:lineRule="auto"/>
        <w:ind w:firstLine="480" w:firstLineChars="200"/>
        <w:rPr>
          <w:rFonts w:hint="default" w:ascii="Times New Roman" w:hAnsi="Times New Roman" w:eastAsia="宋体" w:cs="Times New Roman"/>
          <w:bCs/>
          <w:color w:val="auto"/>
          <w:sz w:val="24"/>
          <w:szCs w:val="21"/>
          <w:highlight w:val="none"/>
          <w:shd w:val="clear" w:color="auto" w:fill="auto"/>
          <w:lang w:val="en-US" w:eastAsia="zh-CN"/>
        </w:rPr>
      </w:pPr>
      <w:r>
        <w:rPr>
          <w:rFonts w:hint="eastAsia" w:ascii="Times New Roman" w:hAnsi="Times New Roman" w:eastAsia="宋体" w:cs="Times New Roman"/>
          <w:bCs/>
          <w:color w:val="auto"/>
          <w:sz w:val="24"/>
          <w:szCs w:val="21"/>
          <w:highlight w:val="none"/>
          <w:shd w:val="clear" w:color="auto" w:fill="auto"/>
          <w:lang w:val="en-US" w:eastAsia="zh-CN"/>
        </w:rPr>
        <w:t>8</w:t>
      </w:r>
      <w:r>
        <w:rPr>
          <w:rFonts w:hint="default" w:ascii="Times New Roman" w:hAnsi="Times New Roman" w:eastAsia="宋体" w:cs="Times New Roman"/>
          <w:bCs/>
          <w:color w:val="auto"/>
          <w:sz w:val="24"/>
          <w:szCs w:val="21"/>
          <w:highlight w:val="none"/>
          <w:shd w:val="clear" w:color="auto" w:fill="auto"/>
          <w:lang w:val="en-US" w:eastAsia="zh-CN"/>
        </w:rPr>
        <w:t>.驾驶员及随车人员不能私自进入料场，如确需进入料场必须经过材料员同意并正确佩戴劳动防护用品后才能进入料场</w:t>
      </w:r>
      <w:r>
        <w:rPr>
          <w:rFonts w:hint="eastAsia" w:ascii="Times New Roman" w:hAnsi="Times New Roman" w:eastAsia="宋体" w:cs="Times New Roman"/>
          <w:bCs/>
          <w:color w:val="auto"/>
          <w:sz w:val="24"/>
          <w:szCs w:val="21"/>
          <w:highlight w:val="none"/>
          <w:shd w:val="clear" w:color="auto" w:fill="auto"/>
          <w:lang w:val="en-US" w:eastAsia="zh-CN"/>
        </w:rPr>
        <w:t>。</w:t>
      </w:r>
    </w:p>
    <w:p>
      <w:pPr>
        <w:widowControl/>
        <w:shd w:val="clear" w:color="auto" w:fill="auto"/>
        <w:spacing w:line="276" w:lineRule="auto"/>
        <w:ind w:firstLine="480" w:firstLineChars="200"/>
        <w:rPr>
          <w:rFonts w:hint="default" w:ascii="Times New Roman" w:hAnsi="Times New Roman" w:eastAsia="宋体" w:cs="Times New Roman"/>
          <w:bCs/>
          <w:color w:val="auto"/>
          <w:sz w:val="24"/>
          <w:szCs w:val="21"/>
          <w:highlight w:val="none"/>
          <w:shd w:val="clear" w:color="auto" w:fill="auto"/>
          <w:lang w:val="en-US" w:eastAsia="zh-CN"/>
        </w:rPr>
      </w:pPr>
      <w:r>
        <w:rPr>
          <w:rFonts w:hint="eastAsia" w:ascii="Times New Roman" w:hAnsi="Times New Roman" w:eastAsia="宋体" w:cs="Times New Roman"/>
          <w:bCs/>
          <w:color w:val="auto"/>
          <w:sz w:val="24"/>
          <w:szCs w:val="21"/>
          <w:highlight w:val="none"/>
          <w:shd w:val="clear" w:color="auto" w:fill="auto"/>
          <w:lang w:val="en-US" w:eastAsia="zh-CN"/>
        </w:rPr>
        <w:t>9</w:t>
      </w:r>
      <w:r>
        <w:rPr>
          <w:rFonts w:hint="default" w:ascii="Times New Roman" w:hAnsi="Times New Roman" w:eastAsia="宋体" w:cs="Times New Roman"/>
          <w:bCs/>
          <w:color w:val="auto"/>
          <w:sz w:val="24"/>
          <w:szCs w:val="21"/>
          <w:highlight w:val="none"/>
          <w:shd w:val="clear" w:color="auto" w:fill="auto"/>
          <w:lang w:val="en-US" w:eastAsia="zh-CN"/>
        </w:rPr>
        <w:t>.粉料车卸料前要确认是否与罐体内材料一致，卸料管口要固定牢固</w:t>
      </w:r>
      <w:r>
        <w:rPr>
          <w:rFonts w:hint="eastAsia" w:ascii="Times New Roman" w:hAnsi="Times New Roman" w:eastAsia="宋体" w:cs="Times New Roman"/>
          <w:bCs/>
          <w:color w:val="auto"/>
          <w:sz w:val="24"/>
          <w:szCs w:val="21"/>
          <w:highlight w:val="none"/>
          <w:shd w:val="clear" w:color="auto" w:fill="auto"/>
          <w:lang w:val="en-US" w:eastAsia="zh-CN"/>
        </w:rPr>
        <w:t>并</w:t>
      </w:r>
      <w:r>
        <w:rPr>
          <w:rFonts w:hint="default" w:ascii="Times New Roman" w:hAnsi="Times New Roman" w:eastAsia="宋体" w:cs="Times New Roman"/>
          <w:bCs/>
          <w:color w:val="auto"/>
          <w:sz w:val="24"/>
          <w:szCs w:val="21"/>
          <w:highlight w:val="none"/>
          <w:shd w:val="clear" w:color="auto" w:fill="auto"/>
          <w:lang w:val="en-US" w:eastAsia="zh-CN"/>
        </w:rPr>
        <w:t>系上保险</w:t>
      </w:r>
      <w:r>
        <w:rPr>
          <w:rFonts w:hint="eastAsia" w:ascii="Times New Roman" w:hAnsi="Times New Roman" w:eastAsia="宋体" w:cs="Times New Roman"/>
          <w:bCs/>
          <w:color w:val="auto"/>
          <w:sz w:val="24"/>
          <w:szCs w:val="21"/>
          <w:highlight w:val="none"/>
          <w:shd w:val="clear" w:color="auto" w:fill="auto"/>
          <w:lang w:val="en-US" w:eastAsia="zh-CN"/>
        </w:rPr>
        <w:t>绳</w:t>
      </w:r>
      <w:r>
        <w:rPr>
          <w:rFonts w:hint="default" w:ascii="Times New Roman" w:hAnsi="Times New Roman" w:eastAsia="宋体" w:cs="Times New Roman"/>
          <w:bCs/>
          <w:color w:val="auto"/>
          <w:sz w:val="24"/>
          <w:szCs w:val="21"/>
          <w:highlight w:val="none"/>
          <w:shd w:val="clear" w:color="auto" w:fill="auto"/>
          <w:lang w:val="en-US" w:eastAsia="zh-CN"/>
        </w:rPr>
        <w:t>，卸料前后要进行除尘处理，卸料过程中驾驶员不能离开现场，随时应对突发情况</w:t>
      </w:r>
      <w:r>
        <w:rPr>
          <w:rFonts w:hint="eastAsia" w:ascii="Times New Roman" w:hAnsi="Times New Roman" w:eastAsia="宋体" w:cs="Times New Roman"/>
          <w:bCs/>
          <w:color w:val="auto"/>
          <w:sz w:val="24"/>
          <w:szCs w:val="21"/>
          <w:highlight w:val="none"/>
          <w:shd w:val="clear" w:color="auto" w:fill="auto"/>
          <w:lang w:val="en-US" w:eastAsia="zh-CN"/>
        </w:rPr>
        <w:t>。</w:t>
      </w:r>
    </w:p>
    <w:p>
      <w:pPr>
        <w:widowControl/>
        <w:shd w:val="clear" w:color="auto" w:fill="auto"/>
        <w:spacing w:line="276" w:lineRule="auto"/>
        <w:ind w:firstLine="480" w:firstLineChars="200"/>
        <w:rPr>
          <w:rFonts w:hint="default" w:ascii="Times New Roman" w:hAnsi="Times New Roman" w:eastAsia="宋体" w:cs="Times New Roman"/>
          <w:bCs/>
          <w:color w:val="auto"/>
          <w:sz w:val="24"/>
          <w:szCs w:val="21"/>
          <w:highlight w:val="none"/>
          <w:shd w:val="clear" w:color="auto" w:fill="auto"/>
          <w:lang w:val="en-US" w:eastAsia="zh-CN"/>
        </w:rPr>
      </w:pPr>
      <w:r>
        <w:rPr>
          <w:rFonts w:hint="default" w:ascii="Times New Roman" w:hAnsi="Times New Roman" w:eastAsia="宋体" w:cs="Times New Roman"/>
          <w:bCs/>
          <w:color w:val="auto"/>
          <w:sz w:val="24"/>
          <w:szCs w:val="21"/>
          <w:highlight w:val="none"/>
          <w:shd w:val="clear" w:color="auto" w:fill="auto"/>
          <w:lang w:val="en-US" w:eastAsia="zh-CN"/>
        </w:rPr>
        <w:t>1</w:t>
      </w:r>
      <w:r>
        <w:rPr>
          <w:rFonts w:hint="eastAsia" w:ascii="Times New Roman" w:hAnsi="Times New Roman" w:eastAsia="宋体" w:cs="Times New Roman"/>
          <w:bCs/>
          <w:color w:val="auto"/>
          <w:sz w:val="24"/>
          <w:szCs w:val="21"/>
          <w:highlight w:val="none"/>
          <w:shd w:val="clear" w:color="auto" w:fill="auto"/>
          <w:lang w:val="en-US" w:eastAsia="zh-CN"/>
        </w:rPr>
        <w:t>0</w:t>
      </w:r>
      <w:r>
        <w:rPr>
          <w:rFonts w:hint="default" w:ascii="Times New Roman" w:hAnsi="Times New Roman" w:eastAsia="宋体" w:cs="Times New Roman"/>
          <w:bCs/>
          <w:color w:val="auto"/>
          <w:sz w:val="24"/>
          <w:szCs w:val="21"/>
          <w:highlight w:val="none"/>
          <w:shd w:val="clear" w:color="auto" w:fill="auto"/>
          <w:lang w:val="en-US" w:eastAsia="zh-CN"/>
        </w:rPr>
        <w:t>.进入厂区人员</w:t>
      </w:r>
      <w:r>
        <w:rPr>
          <w:rFonts w:hint="eastAsia" w:ascii="Times New Roman" w:hAnsi="Times New Roman" w:eastAsia="宋体" w:cs="Times New Roman"/>
          <w:bCs/>
          <w:color w:val="auto"/>
          <w:sz w:val="24"/>
          <w:szCs w:val="21"/>
          <w:highlight w:val="none"/>
          <w:shd w:val="clear" w:color="auto" w:fill="auto"/>
          <w:lang w:val="en-US" w:eastAsia="zh-CN"/>
        </w:rPr>
        <w:t>甲方</w:t>
      </w:r>
      <w:r>
        <w:rPr>
          <w:rFonts w:hint="default" w:ascii="Times New Roman" w:hAnsi="Times New Roman" w:eastAsia="宋体" w:cs="Times New Roman"/>
          <w:bCs/>
          <w:color w:val="auto"/>
          <w:sz w:val="24"/>
          <w:szCs w:val="21"/>
          <w:highlight w:val="none"/>
          <w:shd w:val="clear" w:color="auto" w:fill="auto"/>
          <w:lang w:val="en-US" w:eastAsia="zh-CN"/>
        </w:rPr>
        <w:t>将纳入统一管理，如违反</w:t>
      </w:r>
      <w:r>
        <w:rPr>
          <w:rFonts w:hint="eastAsia" w:ascii="Times New Roman" w:hAnsi="Times New Roman" w:eastAsia="宋体" w:cs="Times New Roman"/>
          <w:bCs/>
          <w:color w:val="auto"/>
          <w:sz w:val="24"/>
          <w:szCs w:val="21"/>
          <w:highlight w:val="none"/>
          <w:shd w:val="clear" w:color="auto" w:fill="auto"/>
          <w:lang w:val="en-US" w:eastAsia="zh-CN"/>
        </w:rPr>
        <w:t>甲方</w:t>
      </w:r>
      <w:r>
        <w:rPr>
          <w:rFonts w:hint="default" w:ascii="Times New Roman" w:hAnsi="Times New Roman" w:eastAsia="宋体" w:cs="Times New Roman"/>
          <w:bCs/>
          <w:color w:val="auto"/>
          <w:sz w:val="24"/>
          <w:szCs w:val="21"/>
          <w:highlight w:val="none"/>
          <w:shd w:val="clear" w:color="auto" w:fill="auto"/>
          <w:lang w:val="en-US" w:eastAsia="zh-CN"/>
        </w:rPr>
        <w:t>规定，将参照</w:t>
      </w:r>
      <w:r>
        <w:rPr>
          <w:rFonts w:hint="eastAsia" w:ascii="Times New Roman" w:hAnsi="Times New Roman" w:eastAsia="宋体" w:cs="Times New Roman"/>
          <w:bCs/>
          <w:color w:val="auto"/>
          <w:sz w:val="24"/>
          <w:szCs w:val="21"/>
          <w:highlight w:val="none"/>
          <w:shd w:val="clear" w:color="auto" w:fill="auto"/>
          <w:lang w:val="en-US" w:eastAsia="zh-CN"/>
        </w:rPr>
        <w:t>甲方相关制度处理</w:t>
      </w:r>
      <w:r>
        <w:rPr>
          <w:rFonts w:hint="default" w:ascii="Times New Roman" w:hAnsi="Times New Roman" w:eastAsia="宋体" w:cs="Times New Roman"/>
          <w:bCs/>
          <w:color w:val="auto"/>
          <w:sz w:val="24"/>
          <w:szCs w:val="21"/>
          <w:highlight w:val="none"/>
          <w:shd w:val="clear" w:color="auto" w:fill="auto"/>
          <w:lang w:val="en-US" w:eastAsia="zh-CN"/>
        </w:rPr>
        <w:t>。</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三、</w:t>
      </w:r>
      <w:r>
        <w:rPr>
          <w:rFonts w:hint="eastAsia" w:ascii="Times New Roman" w:hAnsi="Times New Roman" w:eastAsia="宋体" w:cs="Times New Roman"/>
          <w:bCs/>
          <w:color w:val="auto"/>
          <w:sz w:val="24"/>
          <w:szCs w:val="21"/>
          <w:highlight w:val="none"/>
          <w:shd w:val="clear" w:color="auto" w:fill="auto"/>
          <w:lang w:val="en-US"/>
        </w:rPr>
        <w:t xml:space="preserve"> 违约责任约定</w:t>
      </w:r>
    </w:p>
    <w:p>
      <w:pPr>
        <w:numPr>
          <w:ilvl w:val="0"/>
          <w:numId w:val="0"/>
        </w:numPr>
        <w:ind w:firstLine="480" w:firstLineChars="200"/>
        <w:jc w:val="both"/>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en-US"/>
        </w:rPr>
        <w:t>1.</w:t>
      </w:r>
      <w:r>
        <w:rPr>
          <w:rFonts w:hint="eastAsia" w:ascii="Times New Roman" w:hAnsi="Times New Roman" w:eastAsia="宋体" w:cs="Times New Roman"/>
          <w:bCs/>
          <w:color w:val="auto"/>
          <w:sz w:val="24"/>
          <w:szCs w:val="21"/>
          <w:highlight w:val="none"/>
          <w:shd w:val="clear" w:color="auto" w:fill="auto"/>
          <w:lang w:val="zh-CN"/>
        </w:rPr>
        <w:t>违反本《</w:t>
      </w:r>
      <w:r>
        <w:rPr>
          <w:rFonts w:hint="eastAsia" w:ascii="Times New Roman" w:hAnsi="Times New Roman" w:eastAsia="宋体" w:cs="Times New Roman"/>
          <w:bCs/>
          <w:color w:val="auto"/>
          <w:sz w:val="24"/>
          <w:szCs w:val="21"/>
          <w:highlight w:val="none"/>
          <w:shd w:val="clear" w:color="auto" w:fill="auto"/>
          <w:lang w:val="zh-CN" w:eastAsia="zh-CN"/>
        </w:rPr>
        <w:t>原材料供货安全环保管理协议书</w:t>
      </w:r>
      <w:r>
        <w:rPr>
          <w:rFonts w:hint="eastAsia" w:ascii="Times New Roman" w:hAnsi="Times New Roman" w:eastAsia="宋体" w:cs="Times New Roman"/>
          <w:bCs/>
          <w:color w:val="auto"/>
          <w:sz w:val="24"/>
          <w:szCs w:val="21"/>
          <w:highlight w:val="none"/>
          <w:shd w:val="clear" w:color="auto" w:fill="auto"/>
          <w:lang w:val="zh-CN"/>
        </w:rPr>
        <w:t>》中的条款，对方（协议的相对方）有权对违约方按照合同或【人民币】</w:t>
      </w:r>
      <w:r>
        <w:rPr>
          <w:rFonts w:hint="eastAsia" w:ascii="Times New Roman" w:hAnsi="Times New Roman" w:eastAsia="宋体" w:cs="Times New Roman"/>
          <w:bCs/>
          <w:color w:val="auto"/>
          <w:sz w:val="24"/>
          <w:szCs w:val="21"/>
          <w:highlight w:val="none"/>
          <w:shd w:val="clear" w:color="auto" w:fill="auto"/>
          <w:lang w:val="en-US"/>
        </w:rPr>
        <w:t>2</w:t>
      </w:r>
      <w:r>
        <w:rPr>
          <w:rFonts w:hint="eastAsia" w:ascii="Times New Roman" w:hAnsi="Times New Roman" w:eastAsia="宋体" w:cs="Times New Roman"/>
          <w:bCs/>
          <w:color w:val="auto"/>
          <w:sz w:val="24"/>
          <w:szCs w:val="21"/>
          <w:highlight w:val="none"/>
          <w:shd w:val="clear" w:color="auto" w:fill="auto"/>
          <w:lang w:val="zh-CN"/>
        </w:rPr>
        <w:t>0</w:t>
      </w:r>
      <w:r>
        <w:rPr>
          <w:rFonts w:hint="eastAsia" w:ascii="Times New Roman" w:hAnsi="Times New Roman" w:eastAsia="宋体" w:cs="Times New Roman"/>
          <w:bCs/>
          <w:color w:val="auto"/>
          <w:sz w:val="24"/>
          <w:szCs w:val="21"/>
          <w:highlight w:val="none"/>
          <w:shd w:val="clear" w:color="auto" w:fill="auto"/>
          <w:lang w:val="en-US"/>
        </w:rPr>
        <w:t>0</w:t>
      </w:r>
      <w:r>
        <w:rPr>
          <w:rFonts w:hint="eastAsia" w:ascii="Times New Roman" w:hAnsi="Times New Roman" w:eastAsia="宋体" w:cs="Times New Roman"/>
          <w:bCs/>
          <w:color w:val="auto"/>
          <w:sz w:val="24"/>
          <w:szCs w:val="21"/>
          <w:highlight w:val="none"/>
          <w:shd w:val="clear" w:color="auto" w:fill="auto"/>
          <w:lang w:val="zh-CN"/>
        </w:rPr>
        <w:t>0.00~</w:t>
      </w:r>
      <w:r>
        <w:rPr>
          <w:rFonts w:hint="eastAsia" w:ascii="Times New Roman" w:hAnsi="Times New Roman" w:eastAsia="宋体" w:cs="Times New Roman"/>
          <w:bCs/>
          <w:color w:val="auto"/>
          <w:sz w:val="24"/>
          <w:szCs w:val="21"/>
          <w:highlight w:val="none"/>
          <w:shd w:val="clear" w:color="auto" w:fill="auto"/>
          <w:lang w:val="en-US"/>
        </w:rPr>
        <w:t>20</w:t>
      </w:r>
      <w:r>
        <w:rPr>
          <w:rFonts w:hint="eastAsia" w:ascii="Times New Roman" w:hAnsi="Times New Roman" w:eastAsia="宋体" w:cs="Times New Roman"/>
          <w:bCs/>
          <w:color w:val="auto"/>
          <w:sz w:val="24"/>
          <w:szCs w:val="21"/>
          <w:highlight w:val="none"/>
          <w:shd w:val="clear" w:color="auto" w:fill="auto"/>
          <w:lang w:val="zh-CN"/>
        </w:rPr>
        <w:t>000.00 元/（项·次）的标准进行经济考核；</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en-US"/>
        </w:rPr>
        <w:t>2.</w:t>
      </w:r>
      <w:r>
        <w:rPr>
          <w:rFonts w:hint="eastAsia" w:ascii="Times New Roman" w:hAnsi="Times New Roman" w:eastAsia="宋体" w:cs="Times New Roman"/>
          <w:bCs/>
          <w:color w:val="auto"/>
          <w:sz w:val="24"/>
          <w:szCs w:val="21"/>
          <w:highlight w:val="none"/>
          <w:shd w:val="clear" w:color="auto" w:fill="auto"/>
          <w:lang w:val="zh-CN"/>
        </w:rPr>
        <w:t>对由于违反本协议而导致生产安全事故的情况，对方（协议的相对方）有权对违约方按照合同或【人民币】≥</w:t>
      </w:r>
      <w:r>
        <w:rPr>
          <w:rFonts w:hint="eastAsia" w:ascii="Times New Roman" w:hAnsi="Times New Roman" w:eastAsia="宋体" w:cs="Times New Roman"/>
          <w:bCs/>
          <w:color w:val="auto"/>
          <w:sz w:val="24"/>
          <w:szCs w:val="21"/>
          <w:highlight w:val="none"/>
          <w:shd w:val="clear" w:color="auto" w:fill="auto"/>
          <w:lang w:val="en-US"/>
        </w:rPr>
        <w:t>5</w:t>
      </w:r>
      <w:r>
        <w:rPr>
          <w:rFonts w:hint="eastAsia" w:ascii="Times New Roman" w:hAnsi="Times New Roman" w:eastAsia="宋体" w:cs="Times New Roman"/>
          <w:bCs/>
          <w:color w:val="auto"/>
          <w:sz w:val="24"/>
          <w:szCs w:val="21"/>
          <w:highlight w:val="none"/>
          <w:shd w:val="clear" w:color="auto" w:fill="auto"/>
          <w:lang w:val="zh-CN"/>
        </w:rPr>
        <w:t>0</w:t>
      </w:r>
      <w:r>
        <w:rPr>
          <w:rFonts w:hint="eastAsia" w:ascii="Times New Roman" w:hAnsi="Times New Roman" w:eastAsia="宋体" w:cs="Times New Roman"/>
          <w:bCs/>
          <w:color w:val="auto"/>
          <w:sz w:val="24"/>
          <w:szCs w:val="21"/>
          <w:highlight w:val="none"/>
          <w:shd w:val="clear" w:color="auto" w:fill="auto"/>
          <w:lang w:val="en-US"/>
        </w:rPr>
        <w:t>0</w:t>
      </w:r>
      <w:r>
        <w:rPr>
          <w:rFonts w:hint="eastAsia" w:ascii="Times New Roman" w:hAnsi="Times New Roman" w:eastAsia="宋体" w:cs="Times New Roman"/>
          <w:bCs/>
          <w:color w:val="auto"/>
          <w:sz w:val="24"/>
          <w:szCs w:val="21"/>
          <w:highlight w:val="none"/>
          <w:shd w:val="clear" w:color="auto" w:fill="auto"/>
          <w:lang w:val="zh-CN"/>
        </w:rPr>
        <w:t>00.00 元/（项·次）的标准进行经济考核（最高限不超过合同额的</w:t>
      </w:r>
      <w:r>
        <w:rPr>
          <w:rFonts w:hint="eastAsia" w:ascii="Times New Roman" w:hAnsi="Times New Roman" w:eastAsia="宋体" w:cs="Times New Roman"/>
          <w:bCs/>
          <w:color w:val="auto"/>
          <w:sz w:val="24"/>
          <w:szCs w:val="21"/>
          <w:highlight w:val="none"/>
          <w:shd w:val="clear" w:color="auto" w:fill="auto"/>
          <w:lang w:val="en-US"/>
        </w:rPr>
        <w:t>50%</w:t>
      </w:r>
      <w:r>
        <w:rPr>
          <w:rFonts w:hint="eastAsia" w:ascii="Times New Roman" w:hAnsi="Times New Roman" w:eastAsia="宋体" w:cs="Times New Roman"/>
          <w:bCs/>
          <w:color w:val="auto"/>
          <w:sz w:val="24"/>
          <w:szCs w:val="21"/>
          <w:highlight w:val="none"/>
          <w:shd w:val="clear" w:color="auto" w:fill="auto"/>
          <w:lang w:val="zh-CN"/>
        </w:rPr>
        <w:t>）。</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en-US"/>
        </w:rPr>
        <w:t>3.</w:t>
      </w:r>
      <w:r>
        <w:rPr>
          <w:rFonts w:hint="eastAsia" w:ascii="Times New Roman" w:hAnsi="Times New Roman" w:eastAsia="宋体" w:cs="Times New Roman"/>
          <w:bCs/>
          <w:color w:val="auto"/>
          <w:sz w:val="24"/>
          <w:szCs w:val="21"/>
          <w:highlight w:val="none"/>
          <w:shd w:val="clear" w:color="auto" w:fill="auto"/>
          <w:lang w:val="zh-CN"/>
        </w:rPr>
        <w:t>违反本《</w:t>
      </w:r>
      <w:r>
        <w:rPr>
          <w:rFonts w:hint="eastAsia" w:ascii="Times New Roman" w:hAnsi="Times New Roman" w:eastAsia="宋体" w:cs="Times New Roman"/>
          <w:bCs/>
          <w:color w:val="auto"/>
          <w:sz w:val="24"/>
          <w:szCs w:val="21"/>
          <w:highlight w:val="none"/>
          <w:shd w:val="clear" w:color="auto" w:fill="auto"/>
          <w:lang w:val="zh-CN" w:eastAsia="zh-CN"/>
        </w:rPr>
        <w:t>原材料供货安全环保管理协议书</w:t>
      </w:r>
      <w:r>
        <w:rPr>
          <w:rFonts w:hint="eastAsia" w:ascii="Times New Roman" w:hAnsi="Times New Roman" w:eastAsia="宋体" w:cs="Times New Roman"/>
          <w:bCs/>
          <w:color w:val="auto"/>
          <w:sz w:val="24"/>
          <w:szCs w:val="21"/>
          <w:highlight w:val="none"/>
          <w:shd w:val="clear" w:color="auto" w:fill="auto"/>
          <w:lang w:val="zh-CN"/>
        </w:rPr>
        <w:t>》中条款的经济考核，将在合同价款的结算中或以现金缴纳方式予以落实。</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en-US"/>
        </w:rPr>
        <w:t>4.</w:t>
      </w:r>
      <w:r>
        <w:rPr>
          <w:rFonts w:hint="eastAsia" w:ascii="Times New Roman" w:hAnsi="Times New Roman" w:eastAsia="宋体" w:cs="Times New Roman"/>
          <w:bCs/>
          <w:color w:val="auto"/>
          <w:sz w:val="24"/>
          <w:szCs w:val="21"/>
          <w:highlight w:val="none"/>
          <w:shd w:val="clear" w:color="auto" w:fill="auto"/>
          <w:lang w:val="zh-CN"/>
        </w:rPr>
        <w:t>凡是因违反本《</w:t>
      </w:r>
      <w:r>
        <w:rPr>
          <w:rFonts w:hint="eastAsia" w:ascii="Times New Roman" w:hAnsi="Times New Roman" w:eastAsia="宋体" w:cs="Times New Roman"/>
          <w:bCs/>
          <w:color w:val="auto"/>
          <w:sz w:val="24"/>
          <w:szCs w:val="21"/>
          <w:highlight w:val="none"/>
          <w:shd w:val="clear" w:color="auto" w:fill="auto"/>
          <w:lang w:val="zh-CN" w:eastAsia="zh-CN"/>
        </w:rPr>
        <w:t>原材料供货安全环保管理协议书</w:t>
      </w:r>
      <w:r>
        <w:rPr>
          <w:rFonts w:hint="eastAsia" w:ascii="Times New Roman" w:hAnsi="Times New Roman" w:eastAsia="宋体" w:cs="Times New Roman"/>
          <w:bCs/>
          <w:color w:val="auto"/>
          <w:sz w:val="24"/>
          <w:szCs w:val="21"/>
          <w:highlight w:val="none"/>
          <w:shd w:val="clear" w:color="auto" w:fill="auto"/>
          <w:lang w:val="zh-CN"/>
        </w:rPr>
        <w:t>》规定导致事故的，一切后果（含经济损失赔偿、法律责任等）均由</w:t>
      </w:r>
      <w:r>
        <w:rPr>
          <w:rFonts w:hint="eastAsia" w:ascii="Times New Roman" w:hAnsi="Times New Roman" w:eastAsia="宋体" w:cs="Times New Roman"/>
          <w:bCs/>
          <w:color w:val="auto"/>
          <w:sz w:val="24"/>
          <w:szCs w:val="21"/>
          <w:highlight w:val="none"/>
          <w:shd w:val="clear" w:color="auto" w:fill="auto"/>
          <w:lang w:val="zh-CN" w:eastAsia="zh-CN"/>
        </w:rPr>
        <w:t>违约方</w:t>
      </w:r>
      <w:r>
        <w:rPr>
          <w:rFonts w:hint="eastAsia" w:ascii="Times New Roman" w:hAnsi="Times New Roman" w:eastAsia="宋体" w:cs="Times New Roman"/>
          <w:bCs/>
          <w:color w:val="auto"/>
          <w:sz w:val="24"/>
          <w:szCs w:val="21"/>
          <w:highlight w:val="none"/>
          <w:shd w:val="clear" w:color="auto" w:fill="auto"/>
          <w:lang w:val="zh-CN"/>
        </w:rPr>
        <w:t>承担。</w:t>
      </w:r>
    </w:p>
    <w:p>
      <w:pPr>
        <w:widowControl/>
        <w:shd w:val="clear" w:color="auto" w:fill="auto"/>
        <w:spacing w:line="276" w:lineRule="auto"/>
        <w:ind w:firstLine="480" w:firstLineChars="200"/>
        <w:rPr>
          <w:rFonts w:hint="eastAsia" w:ascii="Times New Roman" w:hAnsi="Times New Roman" w:eastAsia="宋体" w:cs="Times New Roman"/>
          <w:bCs/>
          <w:color w:val="auto"/>
          <w:sz w:val="24"/>
          <w:szCs w:val="21"/>
          <w:highlight w:val="none"/>
          <w:shd w:val="clear" w:color="auto" w:fill="auto"/>
          <w:lang w:val="zh-CN"/>
        </w:rPr>
      </w:pPr>
      <w:r>
        <w:rPr>
          <w:rFonts w:hint="eastAsia" w:ascii="Times New Roman" w:hAnsi="Times New Roman" w:eastAsia="宋体" w:cs="Times New Roman"/>
          <w:bCs/>
          <w:color w:val="auto"/>
          <w:sz w:val="24"/>
          <w:szCs w:val="21"/>
          <w:highlight w:val="none"/>
          <w:shd w:val="clear" w:color="auto" w:fill="auto"/>
          <w:lang w:val="zh-CN"/>
        </w:rPr>
        <w:t>四、本协议一式两份，自双方签字盖章后生效。</w:t>
      </w:r>
    </w:p>
    <w:p>
      <w:pPr>
        <w:autoSpaceDE w:val="0"/>
        <w:autoSpaceDN w:val="0"/>
        <w:spacing w:line="590" w:lineRule="exact"/>
        <w:rPr>
          <w:rFonts w:hint="eastAsia"/>
          <w:sz w:val="24"/>
        </w:rPr>
      </w:pPr>
    </w:p>
    <w:p>
      <w:pPr>
        <w:autoSpaceDE w:val="0"/>
        <w:autoSpaceDN w:val="0"/>
        <w:spacing w:line="590" w:lineRule="exact"/>
        <w:rPr>
          <w:rFonts w:hint="eastAsia"/>
          <w:sz w:val="24"/>
        </w:rPr>
      </w:pPr>
      <w:r>
        <w:rPr>
          <w:rFonts w:hint="eastAsia"/>
          <w:sz w:val="24"/>
        </w:rPr>
        <w:t>甲方（盖章）：</w:t>
      </w:r>
      <w:r>
        <w:rPr>
          <w:rFonts w:hint="eastAsia"/>
          <w:sz w:val="24"/>
          <w:lang w:val="en-US" w:eastAsia="zh-CN"/>
        </w:rPr>
        <w:t xml:space="preserve">                          </w:t>
      </w:r>
      <w:r>
        <w:rPr>
          <w:rFonts w:hint="eastAsia"/>
          <w:sz w:val="24"/>
        </w:rPr>
        <w:t>乙方（盖章）：</w:t>
      </w:r>
    </w:p>
    <w:p>
      <w:pPr>
        <w:autoSpaceDE w:val="0"/>
        <w:autoSpaceDN w:val="0"/>
        <w:spacing w:line="590" w:lineRule="exact"/>
        <w:rPr>
          <w:rFonts w:hint="default" w:ascii="宋体" w:eastAsia="宋体"/>
          <w:sz w:val="24"/>
          <w:lang w:val="en-US"/>
        </w:rPr>
      </w:pPr>
      <w:r>
        <w:rPr>
          <w:rFonts w:hint="eastAsia"/>
          <w:sz w:val="24"/>
          <w:u w:val="single"/>
          <w:lang w:val="zh-CN"/>
        </w:rPr>
        <w:t>广安金都混凝土有限公司</w:t>
      </w:r>
      <w:r>
        <w:rPr>
          <w:rFonts w:hint="eastAsia"/>
          <w:sz w:val="24"/>
          <w:u w:val="single"/>
        </w:rPr>
        <w:t xml:space="preserve"> </w:t>
      </w:r>
      <w:r>
        <w:rPr>
          <w:rFonts w:hint="eastAsia"/>
          <w:sz w:val="24"/>
        </w:rPr>
        <w:t xml:space="preserve">  </w:t>
      </w:r>
      <w:r>
        <w:rPr>
          <w:rFonts w:hint="eastAsia"/>
          <w:sz w:val="24"/>
          <w:lang w:val="en-US" w:eastAsia="zh-CN"/>
        </w:rPr>
        <w:t xml:space="preserve">     </w:t>
      </w:r>
      <w:r>
        <w:rPr>
          <w:rFonts w:hint="eastAsia"/>
          <w:sz w:val="24"/>
          <w:szCs w:val="22"/>
          <w:lang w:val="en-US" w:eastAsia="zh-CN"/>
        </w:rPr>
        <w:t xml:space="preserve">        </w:t>
      </w:r>
      <w:r>
        <w:rPr>
          <w:rFonts w:hint="eastAsia" w:ascii="宋体" w:eastAsia="宋体"/>
          <w:sz w:val="24"/>
          <w:szCs w:val="22"/>
          <w:lang w:val="en-US" w:eastAsia="zh-CN"/>
        </w:rPr>
        <w:t xml:space="preserve"> </w:t>
      </w:r>
      <w:r>
        <w:rPr>
          <w:rFonts w:hint="eastAsia" w:ascii="宋体" w:eastAsia="宋体"/>
          <w:sz w:val="24"/>
          <w:szCs w:val="22"/>
          <w:u w:val="single"/>
          <w:lang w:val="en-US" w:eastAsia="zh-CN"/>
        </w:rPr>
        <w:t xml:space="preserve">                      </w:t>
      </w:r>
      <w:r>
        <w:rPr>
          <w:rFonts w:hint="eastAsia"/>
          <w:sz w:val="24"/>
          <w:u w:val="single"/>
          <w:lang w:val="en-US" w:eastAsia="zh-CN"/>
        </w:rPr>
        <w:t xml:space="preserve"> </w:t>
      </w:r>
    </w:p>
    <w:p>
      <w:pPr>
        <w:autoSpaceDE w:val="0"/>
        <w:autoSpaceDN w:val="0"/>
        <w:spacing w:line="590" w:lineRule="exact"/>
        <w:rPr>
          <w:rFonts w:hint="eastAsia"/>
          <w:sz w:val="24"/>
        </w:rPr>
      </w:pPr>
      <w:r>
        <w:rPr>
          <w:rFonts w:hint="eastAsia"/>
          <w:sz w:val="24"/>
        </w:rPr>
        <w:t xml:space="preserve">法定代表人                            </w:t>
      </w:r>
      <w:r>
        <w:rPr>
          <w:rFonts w:hint="eastAsia"/>
          <w:sz w:val="24"/>
          <w:lang w:val="en-US" w:eastAsia="zh-CN"/>
        </w:rPr>
        <w:t xml:space="preserve"> </w:t>
      </w:r>
      <w:r>
        <w:rPr>
          <w:rFonts w:hint="eastAsia"/>
          <w:sz w:val="24"/>
        </w:rPr>
        <w:t>法定代表人</w:t>
      </w:r>
    </w:p>
    <w:p>
      <w:pPr>
        <w:autoSpaceDE w:val="0"/>
        <w:autoSpaceDN w:val="0"/>
        <w:spacing w:line="590" w:lineRule="exact"/>
        <w:rPr>
          <w:rFonts w:hint="eastAsia"/>
          <w:sz w:val="24"/>
        </w:rPr>
      </w:pPr>
      <w:r>
        <w:rPr>
          <w:rFonts w:hint="eastAsia"/>
          <w:sz w:val="24"/>
        </w:rPr>
        <w:t xml:space="preserve">或委托代理人（签字）：             </w:t>
      </w:r>
      <w:r>
        <w:rPr>
          <w:rFonts w:hint="eastAsia"/>
          <w:sz w:val="24"/>
          <w:lang w:val="en-US" w:eastAsia="zh-CN"/>
        </w:rPr>
        <w:t xml:space="preserve"> </w:t>
      </w:r>
      <w:r>
        <w:rPr>
          <w:rFonts w:hint="eastAsia"/>
          <w:sz w:val="24"/>
        </w:rPr>
        <w:t xml:space="preserve">    或委托代理人（签字）：</w:t>
      </w:r>
    </w:p>
    <w:p>
      <w:pPr>
        <w:rPr>
          <w:rFonts w:hint="eastAsia"/>
          <w:sz w:val="24"/>
        </w:rPr>
      </w:pPr>
    </w:p>
    <w:p>
      <w:pPr>
        <w:rPr>
          <w:rFonts w:hint="eastAsia" w:eastAsia="宋体"/>
          <w:lang w:val="en-US" w:eastAsia="zh-CN"/>
        </w:rPr>
      </w:pPr>
      <w:r>
        <w:rPr>
          <w:rFonts w:hint="eastAsia"/>
          <w:sz w:val="24"/>
        </w:rPr>
        <w:t>签订时间：</w:t>
      </w:r>
      <w:r>
        <w:rPr>
          <w:rFonts w:hint="eastAsia"/>
          <w:sz w:val="24"/>
          <w:lang w:val="en-US" w:eastAsia="zh-CN"/>
        </w:rPr>
        <w:t>2023</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 xml:space="preserve">日           </w:t>
      </w:r>
      <w:r>
        <w:rPr>
          <w:rFonts w:hint="eastAsia"/>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Times New Roman" w:hAnsi="Calibri" w:eastAsia="宋体" w:cs="Times New Roman"/>
          <w:b/>
          <w:bCs/>
          <w:color w:val="000000"/>
          <w:kern w:val="44"/>
          <w:sz w:val="36"/>
          <w:szCs w:val="44"/>
          <w:lang w:val="en-US" w:eastAsia="zh-CN" w:bidi="ar-SA"/>
        </w:rPr>
      </w:pPr>
      <w:r>
        <w:rPr>
          <w:rFonts w:hint="eastAsia" w:ascii="Times New Roman" w:hAnsi="Calibri" w:eastAsia="宋体" w:cs="Times New Roman"/>
          <w:b/>
          <w:bCs/>
          <w:color w:val="000000"/>
          <w:kern w:val="44"/>
          <w:sz w:val="36"/>
          <w:szCs w:val="44"/>
          <w:lang w:val="en-US" w:eastAsia="zh-CN" w:bidi="ar-SA"/>
        </w:rPr>
        <w:br w:type="page"/>
      </w:r>
      <w:r>
        <w:rPr>
          <w:rFonts w:hint="eastAsia" w:ascii="Times New Roman" w:hAnsi="Calibri" w:eastAsia="宋体" w:cs="Times New Roman"/>
          <w:b/>
          <w:bCs/>
          <w:color w:val="000000"/>
          <w:kern w:val="44"/>
          <w:sz w:val="36"/>
          <w:szCs w:val="44"/>
          <w:lang w:val="en-US" w:eastAsia="zh-CN" w:bidi="ar-SA"/>
        </w:rPr>
        <w:t>廉政合同</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jc w:val="left"/>
        <w:textAlignment w:val="auto"/>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为做好</w:t>
      </w:r>
      <w:r>
        <w:rPr>
          <w:rFonts w:hint="eastAsia" w:ascii="Times New Roman" w:hAnsi="Times New Roman" w:cs="宋体"/>
          <w:color w:val="auto"/>
          <w:kern w:val="2"/>
          <w:sz w:val="24"/>
          <w:szCs w:val="24"/>
          <w:u w:val="single"/>
        </w:rPr>
        <w:t xml:space="preserve"> </w:t>
      </w:r>
      <w:r>
        <w:rPr>
          <w:rFonts w:hint="eastAsia" w:ascii="Times New Roman" w:hAnsi="Times New Roman" w:cs="宋体"/>
          <w:color w:val="auto"/>
          <w:kern w:val="2"/>
          <w:sz w:val="24"/>
          <w:szCs w:val="24"/>
          <w:u w:val="single"/>
          <w:lang w:eastAsia="zh-CN"/>
        </w:rPr>
        <w:t>广安金都混凝土有限公司</w:t>
      </w:r>
      <w:r>
        <w:rPr>
          <w:rFonts w:hint="eastAsia" w:ascii="Times New Roman" w:hAnsi="Times New Roman" w:cs="宋体"/>
          <w:color w:val="auto"/>
          <w:kern w:val="2"/>
          <w:sz w:val="24"/>
          <w:szCs w:val="24"/>
          <w:u w:val="single"/>
        </w:rPr>
        <w:t xml:space="preserve"> </w:t>
      </w:r>
      <w:r>
        <w:rPr>
          <w:rFonts w:hint="eastAsia" w:ascii="Times New Roman" w:hAnsi="Times New Roman" w:cs="宋体"/>
          <w:color w:val="auto"/>
          <w:kern w:val="2"/>
          <w:sz w:val="24"/>
          <w:szCs w:val="24"/>
        </w:rPr>
        <w:t>的廉政建设，保证项目高效优质推进，保证项目资金的安全和有效使用以及投资效益，</w:t>
      </w:r>
      <w:r>
        <w:rPr>
          <w:rFonts w:hint="eastAsia" w:ascii="Times New Roman" w:hAnsi="Times New Roman" w:cs="宋体"/>
          <w:color w:val="auto"/>
          <w:kern w:val="2"/>
          <w:sz w:val="24"/>
          <w:szCs w:val="24"/>
          <w:u w:val="single"/>
          <w:lang w:eastAsia="zh-CN"/>
        </w:rPr>
        <w:t>广安金都混凝土有限公司</w:t>
      </w:r>
      <w:r>
        <w:rPr>
          <w:rFonts w:hint="eastAsia" w:ascii="Times New Roman" w:hAnsi="Times New Roman" w:cs="宋体"/>
          <w:color w:val="auto"/>
          <w:kern w:val="2"/>
          <w:sz w:val="24"/>
          <w:szCs w:val="24"/>
          <w:lang w:eastAsia="zh-CN"/>
        </w:rPr>
        <w:t>（</w:t>
      </w:r>
      <w:r>
        <w:rPr>
          <w:rFonts w:hint="eastAsia" w:ascii="Times New Roman" w:hAnsi="Times New Roman" w:cs="宋体"/>
          <w:color w:val="auto"/>
          <w:kern w:val="2"/>
          <w:sz w:val="24"/>
          <w:szCs w:val="24"/>
        </w:rPr>
        <w:t>以下简称“甲方”）与</w:t>
      </w:r>
      <w:r>
        <w:rPr>
          <w:rFonts w:hint="eastAsia" w:ascii="Times New Roman" w:hAnsi="Times New Roman" w:cs="宋体"/>
          <w:color w:val="auto"/>
          <w:kern w:val="2"/>
          <w:sz w:val="24"/>
          <w:szCs w:val="24"/>
          <w:u w:val="single"/>
          <w:lang w:val="en-US" w:eastAsia="zh-CN"/>
        </w:rPr>
        <w:t xml:space="preserve">            </w:t>
      </w:r>
      <w:r>
        <w:rPr>
          <w:rFonts w:hint="eastAsia" w:ascii="Times New Roman" w:hAnsi="Times New Roman" w:cs="宋体"/>
          <w:color w:val="auto"/>
          <w:kern w:val="2"/>
          <w:sz w:val="24"/>
          <w:szCs w:val="24"/>
        </w:rPr>
        <w:t>（以下简称“乙方”），根据国家有关法律法规，特订立如下合同。</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 xml:space="preserve"> 第一条 甲乙双方的权利和义务</w:t>
      </w:r>
      <w:r>
        <w:rPr>
          <w:rFonts w:hint="eastAsia" w:ascii="Times New Roman" w:hAnsi="Times New Roman" w:cs="宋体"/>
          <w:color w:val="auto"/>
          <w:kern w:val="2"/>
          <w:sz w:val="24"/>
          <w:szCs w:val="24"/>
        </w:rPr>
        <w:tab/>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（1）严格遵守国家有关法律法规，相关政策，以及廉政建设的各项规定。</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（2）严格执行合同文件，自觉按合同办事。</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（3）双方的业务活动必须坚持公开、公正、诚信、透明的原则（法律认定的商业秘密和合同文件另有规定除外），不得为获取不正当的利益，损害国家、集体和对方利益，不得违反相关管理和规章制度。</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（4）建立健全廉政制度，开展廉政教育，设立廉政告示牌，公布举报电话，监督并认真查处违法纪行为。</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（5）发现对方在业务活动中有违规、违纪、违法行为的，有及时提醒对方纠正的权利和义务。</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（6）发现对方严重违反</w:t>
      </w:r>
      <w:r>
        <w:rPr>
          <w:rFonts w:hint="eastAsia" w:ascii="Times New Roman" w:hAnsi="Times New Roman" w:cs="宋体"/>
          <w:color w:val="auto"/>
          <w:kern w:val="2"/>
          <w:sz w:val="24"/>
          <w:szCs w:val="24"/>
          <w:u w:val="single"/>
          <w:lang w:val="en-US" w:eastAsia="zh-CN"/>
        </w:rPr>
        <w:t xml:space="preserve"> 《砂石采购合同》 </w:t>
      </w:r>
      <w:r>
        <w:rPr>
          <w:rFonts w:hint="eastAsia" w:ascii="Times New Roman" w:hAnsi="Times New Roman" w:cs="宋体"/>
          <w:color w:val="auto"/>
          <w:kern w:val="2"/>
          <w:sz w:val="24"/>
          <w:szCs w:val="24"/>
        </w:rPr>
        <w:t>义务条款的行为，有向其上级有关部门举报、建议给予处理并要求告知处理结果的权利。</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第二条 甲方的义务</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（1）甲方及其工作人员不得索要或接受乙方的回扣、礼金、有价证券、贵重物品和好处费、感谢费等。</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（2）不得在乙方报销任何应由甲方或甲方工作人员个人支付的费用等。</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 xml:space="preserve">（3） 不得要求、暗示或接受乙方和相关单位为个人装修住房、婚丧嫁娶、配偶子女的工作安排以及出国（境）、旅游等提供方便。 </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（4）甲方及其工作人员不得参加可能影响公正执行公务的乙方安排的宴请、健身、娱乐等活动。</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（5）不得要求、接受乙方和相关单位介绍或为配偶、子女、亲属参与为履行合同有关的任何活动。</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第三条 乙方</w:t>
      </w:r>
      <w:r>
        <w:rPr>
          <w:rFonts w:hint="eastAsia" w:ascii="Times New Roman" w:hAnsi="Times New Roman" w:cs="宋体"/>
          <w:color w:val="auto"/>
          <w:kern w:val="2"/>
          <w:sz w:val="24"/>
          <w:szCs w:val="24"/>
          <w:lang w:eastAsia="zh-CN"/>
        </w:rPr>
        <w:t>的</w:t>
      </w:r>
      <w:r>
        <w:rPr>
          <w:rFonts w:hint="eastAsia" w:ascii="Times New Roman" w:hAnsi="Times New Roman" w:cs="宋体"/>
          <w:color w:val="auto"/>
          <w:kern w:val="2"/>
          <w:sz w:val="24"/>
          <w:szCs w:val="24"/>
        </w:rPr>
        <w:t>义务</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（1）乙方不得以任何理由向甲方及其工作人员行贿或馈赠礼金、有价证券、贵重礼品。</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（2）乙方不得以任何名义为甲方及其工作人员报销应由甲方单位或个人支付的任何费用。</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（3）乙方不得以任何理由安排甲方工作人员参加超标准宴请及娱乐活动。</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（4）乙方不得为甲方单位和个人购置或提供通讯工具、交通工具和高档办公用品等。</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第四条 违约责任</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（1）甲方及其工作人员违反本廉政合同约定，依据有关规定给予相应处理；涉嫌犯罪的，移交司法机关追究刑事责任。给乙方造成经济损失的，应予以赔偿。</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（2）乙方及其工作人员违反本廉政合同约定，给甲方造成经济损失或不良影响的，应予以赔偿和承担相应责任。情节严重的，甲方有权给予乙方一至三年内不得进入其广安</w:t>
      </w:r>
      <w:r>
        <w:rPr>
          <w:rFonts w:hint="eastAsia" w:ascii="Times New Roman" w:hAnsi="Times New Roman" w:cs="宋体"/>
          <w:color w:val="auto"/>
          <w:kern w:val="2"/>
          <w:sz w:val="24"/>
          <w:szCs w:val="24"/>
          <w:lang w:eastAsia="zh-CN"/>
        </w:rPr>
        <w:t>发展</w:t>
      </w:r>
      <w:r>
        <w:rPr>
          <w:rFonts w:hint="eastAsia" w:ascii="Times New Roman" w:hAnsi="Times New Roman" w:cs="宋体"/>
          <w:color w:val="auto"/>
          <w:kern w:val="2"/>
          <w:sz w:val="24"/>
          <w:szCs w:val="24"/>
        </w:rPr>
        <w:t>集团系统市场的处罚，且甲方有权建议主管部门给予乙方一至三年内不得进入其主管的</w:t>
      </w:r>
      <w:r>
        <w:rPr>
          <w:rFonts w:hint="eastAsia" w:ascii="Times New Roman" w:hAnsi="Times New Roman" w:cs="宋体"/>
          <w:color w:val="auto"/>
          <w:kern w:val="2"/>
          <w:sz w:val="24"/>
          <w:szCs w:val="24"/>
          <w:u w:val="single"/>
        </w:rPr>
        <w:t xml:space="preserve"> </w:t>
      </w:r>
      <w:r>
        <w:rPr>
          <w:rFonts w:hint="eastAsia" w:ascii="Times New Roman" w:hAnsi="Times New Roman" w:cs="宋体"/>
          <w:color w:val="auto"/>
          <w:kern w:val="2"/>
          <w:sz w:val="24"/>
          <w:szCs w:val="24"/>
          <w:u w:val="single"/>
          <w:lang w:val="en-US" w:eastAsia="zh-CN"/>
        </w:rPr>
        <w:t>砂石</w:t>
      </w:r>
      <w:r>
        <w:rPr>
          <w:rFonts w:hint="eastAsia" w:ascii="Times New Roman" w:hAnsi="Times New Roman" w:cs="宋体"/>
          <w:color w:val="auto"/>
          <w:kern w:val="2"/>
          <w:sz w:val="24"/>
          <w:szCs w:val="24"/>
          <w:u w:val="single"/>
        </w:rPr>
        <w:t xml:space="preserve"> </w:t>
      </w:r>
      <w:r>
        <w:rPr>
          <w:rFonts w:hint="eastAsia" w:ascii="Times New Roman" w:hAnsi="Times New Roman" w:cs="宋体"/>
          <w:color w:val="auto"/>
          <w:kern w:val="2"/>
          <w:sz w:val="24"/>
          <w:szCs w:val="24"/>
        </w:rPr>
        <w:t>市场的处罚。涉嫌犯罪的，甲方有权移送司法机关追究刑事责任。</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第五条 本合同有效期为甲乙双方签署之日起至履行完2年。</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第六条 本合同作为</w:t>
      </w:r>
      <w:r>
        <w:rPr>
          <w:rFonts w:hint="eastAsia" w:ascii="Times New Roman" w:hAnsi="Times New Roman" w:cs="宋体"/>
          <w:color w:val="auto"/>
          <w:kern w:val="2"/>
          <w:sz w:val="24"/>
          <w:szCs w:val="24"/>
          <w:u w:val="single"/>
          <w:lang w:val="en-US" w:eastAsia="zh-CN"/>
        </w:rPr>
        <w:t xml:space="preserve"> 《砂石采购合同》 </w:t>
      </w:r>
      <w:r>
        <w:rPr>
          <w:rFonts w:hint="eastAsia" w:ascii="Times New Roman" w:hAnsi="Times New Roman" w:cs="宋体"/>
          <w:color w:val="auto"/>
          <w:kern w:val="2"/>
          <w:sz w:val="24"/>
          <w:szCs w:val="24"/>
        </w:rPr>
        <w:t>的附件，与</w:t>
      </w:r>
      <w:r>
        <w:rPr>
          <w:rFonts w:hint="eastAsia" w:ascii="Times New Roman" w:hAnsi="Times New Roman" w:cs="宋体"/>
          <w:color w:val="auto"/>
          <w:kern w:val="2"/>
          <w:sz w:val="24"/>
          <w:szCs w:val="24"/>
          <w:u w:val="single"/>
          <w:lang w:val="en-US" w:eastAsia="zh-CN"/>
        </w:rPr>
        <w:t xml:space="preserve"> 《砂石采购合同》 </w:t>
      </w:r>
      <w:r>
        <w:rPr>
          <w:rFonts w:hint="eastAsia" w:ascii="Times New Roman" w:hAnsi="Times New Roman" w:cs="宋体"/>
          <w:color w:val="auto"/>
          <w:kern w:val="2"/>
          <w:sz w:val="24"/>
          <w:szCs w:val="24"/>
        </w:rPr>
        <w:t>具有同等的法律效力，经合同双方签字盖章之日生效。</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第七条 本合同一式</w:t>
      </w:r>
      <w:r>
        <w:rPr>
          <w:rFonts w:hint="eastAsia" w:ascii="Times New Roman" w:hAnsi="Times New Roman" w:cs="宋体"/>
          <w:color w:val="auto"/>
          <w:kern w:val="2"/>
          <w:sz w:val="24"/>
          <w:szCs w:val="24"/>
          <w:u w:val="single"/>
          <w:lang w:val="en-US" w:eastAsia="zh-CN"/>
        </w:rPr>
        <w:t xml:space="preserve"> </w:t>
      </w:r>
      <w:r>
        <w:rPr>
          <w:rFonts w:hint="eastAsia" w:ascii="Times New Roman" w:hAnsi="Times New Roman" w:cs="宋体"/>
          <w:color w:val="auto"/>
          <w:kern w:val="2"/>
          <w:sz w:val="24"/>
          <w:szCs w:val="24"/>
          <w:u w:val="single"/>
          <w:lang w:eastAsia="zh-CN"/>
        </w:rPr>
        <w:t>贰</w:t>
      </w:r>
      <w:r>
        <w:rPr>
          <w:rFonts w:hint="eastAsia" w:ascii="Times New Roman" w:hAnsi="Times New Roman" w:cs="宋体"/>
          <w:color w:val="auto"/>
          <w:kern w:val="2"/>
          <w:sz w:val="24"/>
          <w:szCs w:val="24"/>
          <w:u w:val="single"/>
          <w:lang w:val="en-US" w:eastAsia="zh-CN"/>
        </w:rPr>
        <w:t xml:space="preserve"> </w:t>
      </w:r>
      <w:r>
        <w:rPr>
          <w:rFonts w:hint="eastAsia" w:ascii="Times New Roman" w:hAnsi="Times New Roman" w:cs="宋体"/>
          <w:color w:val="auto"/>
          <w:kern w:val="2"/>
          <w:sz w:val="24"/>
          <w:szCs w:val="24"/>
        </w:rPr>
        <w:t>份，由甲乙双方各执</w:t>
      </w:r>
      <w:r>
        <w:rPr>
          <w:rFonts w:hint="eastAsia" w:ascii="Times New Roman" w:hAnsi="Times New Roman" w:cs="宋体"/>
          <w:color w:val="auto"/>
          <w:kern w:val="2"/>
          <w:sz w:val="24"/>
          <w:szCs w:val="24"/>
          <w:u w:val="single"/>
        </w:rPr>
        <w:t xml:space="preserve"> </w:t>
      </w:r>
      <w:r>
        <w:rPr>
          <w:rFonts w:hint="eastAsia" w:ascii="Times New Roman" w:hAnsi="Times New Roman" w:cs="宋体"/>
          <w:color w:val="auto"/>
          <w:kern w:val="2"/>
          <w:sz w:val="24"/>
          <w:szCs w:val="24"/>
          <w:u w:val="single"/>
          <w:lang w:eastAsia="zh-CN"/>
        </w:rPr>
        <w:t>壹</w:t>
      </w:r>
      <w:r>
        <w:rPr>
          <w:rFonts w:hint="eastAsia" w:ascii="Times New Roman" w:hAnsi="Times New Roman" w:cs="宋体"/>
          <w:color w:val="auto"/>
          <w:kern w:val="2"/>
          <w:sz w:val="24"/>
          <w:szCs w:val="24"/>
          <w:u w:val="single"/>
        </w:rPr>
        <w:t xml:space="preserve"> </w:t>
      </w:r>
      <w:r>
        <w:rPr>
          <w:rFonts w:hint="eastAsia" w:ascii="Times New Roman" w:hAnsi="Times New Roman" w:cs="宋体"/>
          <w:color w:val="auto"/>
          <w:kern w:val="2"/>
          <w:sz w:val="24"/>
          <w:szCs w:val="24"/>
        </w:rPr>
        <w:t>份。</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甲方</w:t>
      </w:r>
      <w:r>
        <w:rPr>
          <w:rFonts w:hint="eastAsia" w:ascii="Times New Roman" w:hAnsi="Times New Roman" w:cs="宋体"/>
          <w:color w:val="auto"/>
          <w:kern w:val="2"/>
          <w:sz w:val="24"/>
          <w:szCs w:val="24"/>
          <w:lang w:eastAsia="zh-CN"/>
        </w:rPr>
        <w:t>（盖章）</w:t>
      </w:r>
      <w:r>
        <w:rPr>
          <w:rFonts w:hint="eastAsia" w:ascii="Times New Roman" w:hAnsi="Times New Roman" w:cs="宋体"/>
          <w:color w:val="auto"/>
          <w:kern w:val="2"/>
          <w:sz w:val="24"/>
          <w:szCs w:val="24"/>
        </w:rPr>
        <w:t xml:space="preserve">： </w:t>
      </w:r>
      <w:r>
        <w:rPr>
          <w:rFonts w:hint="eastAsia" w:ascii="Times New Roman" w:hAnsi="Times New Roman" w:cs="宋体"/>
          <w:color w:val="auto"/>
          <w:kern w:val="2"/>
          <w:sz w:val="24"/>
          <w:szCs w:val="24"/>
          <w:lang w:val="en-US" w:eastAsia="zh-CN"/>
        </w:rPr>
        <w:t xml:space="preserve">                     </w:t>
      </w:r>
      <w:r>
        <w:rPr>
          <w:rFonts w:hint="eastAsia" w:ascii="Times New Roman" w:hAnsi="Times New Roman" w:cs="宋体"/>
          <w:color w:val="auto"/>
          <w:kern w:val="2"/>
          <w:sz w:val="24"/>
          <w:szCs w:val="24"/>
        </w:rPr>
        <w:t>乙方</w:t>
      </w:r>
      <w:r>
        <w:rPr>
          <w:rFonts w:hint="eastAsia" w:ascii="Times New Roman" w:hAnsi="Times New Roman" w:cs="宋体"/>
          <w:color w:val="auto"/>
          <w:kern w:val="2"/>
          <w:sz w:val="24"/>
          <w:szCs w:val="24"/>
          <w:lang w:eastAsia="zh-CN"/>
        </w:rPr>
        <w:t>（盖章）</w:t>
      </w:r>
      <w:r>
        <w:rPr>
          <w:rFonts w:hint="eastAsia" w:ascii="Times New Roman" w:hAnsi="Times New Roman" w:cs="宋体"/>
          <w:color w:val="auto"/>
          <w:kern w:val="2"/>
          <w:sz w:val="24"/>
          <w:szCs w:val="24"/>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jc w:val="left"/>
        <w:textAlignment w:val="auto"/>
        <w:rPr>
          <w:rFonts w:hint="eastAsia" w:ascii="Times New Roman" w:hAnsi="Times New Roman" w:cs="宋体"/>
          <w:color w:val="auto"/>
          <w:kern w:val="2"/>
          <w:sz w:val="24"/>
          <w:szCs w:val="24"/>
          <w:lang w:val="en-US" w:eastAsia="zh-CN"/>
        </w:rPr>
      </w:pPr>
      <w:r>
        <w:rPr>
          <w:rFonts w:hint="eastAsia" w:ascii="Times New Roman" w:hAnsi="Times New Roman" w:cs="宋体"/>
          <w:color w:val="auto"/>
          <w:kern w:val="2"/>
          <w:sz w:val="24"/>
          <w:szCs w:val="24"/>
          <w:lang w:eastAsia="zh-CN"/>
        </w:rPr>
        <w:t>广安金都混凝土有限公司</w:t>
      </w:r>
      <w:r>
        <w:rPr>
          <w:rFonts w:hint="eastAsia" w:ascii="Times New Roman" w:hAnsi="Times New Roman" w:cs="宋体"/>
          <w:color w:val="auto"/>
          <w:kern w:val="2"/>
          <w:sz w:val="24"/>
          <w:szCs w:val="24"/>
          <w:lang w:val="en-US" w:eastAsia="zh-CN"/>
        </w:rPr>
        <w:t xml:space="preserve">              </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rPr>
      </w:pPr>
      <w:r>
        <w:rPr>
          <w:rFonts w:hint="eastAsia" w:ascii="Times New Roman" w:hAnsi="Times New Roman" w:cs="宋体"/>
          <w:color w:val="auto"/>
          <w:kern w:val="2"/>
          <w:sz w:val="24"/>
          <w:szCs w:val="24"/>
        </w:rPr>
        <w:t xml:space="preserve">法定代表人   </w:t>
      </w:r>
      <w:r>
        <w:rPr>
          <w:rFonts w:hint="eastAsia" w:ascii="Times New Roman" w:hAnsi="Times New Roman" w:cs="宋体"/>
          <w:color w:val="auto"/>
          <w:kern w:val="2"/>
          <w:sz w:val="24"/>
          <w:szCs w:val="24"/>
          <w:lang w:val="en-US" w:eastAsia="zh-CN"/>
        </w:rPr>
        <w:t xml:space="preserve">                      </w:t>
      </w:r>
      <w:r>
        <w:rPr>
          <w:rFonts w:hint="eastAsia" w:ascii="Times New Roman" w:hAnsi="Times New Roman" w:cs="宋体"/>
          <w:color w:val="auto"/>
          <w:kern w:val="2"/>
          <w:sz w:val="24"/>
          <w:szCs w:val="24"/>
        </w:rPr>
        <w:t>法定代表人</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lang w:eastAsia="zh-CN"/>
        </w:rPr>
      </w:pPr>
      <w:r>
        <w:rPr>
          <w:rFonts w:hint="eastAsia" w:ascii="Times New Roman" w:hAnsi="Times New Roman" w:cs="宋体"/>
          <w:color w:val="auto"/>
          <w:kern w:val="2"/>
          <w:sz w:val="24"/>
          <w:szCs w:val="24"/>
        </w:rPr>
        <w:t xml:space="preserve">或其授权代理人： </w:t>
      </w:r>
      <w:r>
        <w:rPr>
          <w:rFonts w:hint="eastAsia" w:ascii="Times New Roman" w:hAnsi="Times New Roman" w:cs="宋体"/>
          <w:color w:val="auto"/>
          <w:kern w:val="2"/>
          <w:sz w:val="24"/>
          <w:szCs w:val="24"/>
          <w:lang w:val="en-US" w:eastAsia="zh-CN"/>
        </w:rPr>
        <w:t xml:space="preserve">                  </w:t>
      </w:r>
      <w:r>
        <w:rPr>
          <w:rFonts w:hint="eastAsia" w:ascii="Times New Roman" w:hAnsi="Times New Roman" w:cs="宋体"/>
          <w:color w:val="auto"/>
          <w:kern w:val="2"/>
          <w:sz w:val="24"/>
          <w:szCs w:val="24"/>
          <w:lang w:eastAsia="zh-CN"/>
        </w:rPr>
        <w:t>或其授权代理人：</w:t>
      </w:r>
    </w:p>
    <w:p>
      <w:pPr>
        <w:autoSpaceDE w:val="0"/>
        <w:autoSpaceDN w:val="0"/>
        <w:adjustRightInd w:val="0"/>
        <w:spacing w:line="440" w:lineRule="exact"/>
        <w:ind w:firstLine="480" w:firstLineChars="200"/>
        <w:rPr>
          <w:rFonts w:hint="eastAsia" w:ascii="Times New Roman" w:hAnsi="Times New Roman" w:cs="宋体"/>
          <w:color w:val="auto"/>
          <w:kern w:val="2"/>
          <w:sz w:val="24"/>
          <w:szCs w:val="24"/>
          <w:lang w:eastAsia="zh-CN"/>
        </w:rPr>
      </w:pPr>
      <w:r>
        <w:rPr>
          <w:rFonts w:hint="eastAsia" w:ascii="Times New Roman" w:hAnsi="Times New Roman" w:cs="宋体"/>
          <w:color w:val="auto"/>
          <w:kern w:val="2"/>
          <w:sz w:val="24"/>
          <w:szCs w:val="24"/>
          <w:lang w:eastAsia="zh-CN"/>
        </w:rPr>
        <w:t>签订时间：</w:t>
      </w:r>
      <w:r>
        <w:rPr>
          <w:rFonts w:hint="eastAsia" w:ascii="Times New Roman" w:hAnsi="Times New Roman" w:cs="宋体"/>
          <w:color w:val="auto"/>
          <w:kern w:val="2"/>
          <w:sz w:val="24"/>
          <w:szCs w:val="24"/>
          <w:lang w:val="en-US" w:eastAsia="zh-CN"/>
        </w:rPr>
        <w:t xml:space="preserve">     </w:t>
      </w:r>
      <w:r>
        <w:rPr>
          <w:rFonts w:hint="eastAsia" w:ascii="Times New Roman" w:hAnsi="Times New Roman" w:cs="宋体"/>
          <w:color w:val="auto"/>
          <w:kern w:val="2"/>
          <w:sz w:val="24"/>
          <w:szCs w:val="24"/>
          <w:lang w:eastAsia="zh-CN"/>
        </w:rPr>
        <w:t>年</w:t>
      </w:r>
      <w:r>
        <w:rPr>
          <w:rFonts w:hint="eastAsia" w:ascii="Times New Roman" w:hAnsi="Times New Roman" w:cs="宋体"/>
          <w:color w:val="auto"/>
          <w:kern w:val="2"/>
          <w:sz w:val="24"/>
          <w:szCs w:val="24"/>
          <w:lang w:val="en-US" w:eastAsia="zh-CN"/>
        </w:rPr>
        <w:t xml:space="preserve">    </w:t>
      </w:r>
      <w:r>
        <w:rPr>
          <w:rFonts w:hint="eastAsia" w:ascii="Times New Roman" w:hAnsi="Times New Roman" w:cs="宋体"/>
          <w:color w:val="auto"/>
          <w:kern w:val="2"/>
          <w:sz w:val="24"/>
          <w:szCs w:val="24"/>
          <w:lang w:eastAsia="zh-CN"/>
        </w:rPr>
        <w:t>月</w:t>
      </w:r>
      <w:r>
        <w:rPr>
          <w:rFonts w:hint="eastAsia" w:ascii="Times New Roman" w:hAnsi="Times New Roman" w:cs="宋体"/>
          <w:color w:val="auto"/>
          <w:kern w:val="2"/>
          <w:sz w:val="24"/>
          <w:szCs w:val="24"/>
          <w:lang w:val="en-US" w:eastAsia="zh-CN"/>
        </w:rPr>
        <w:t xml:space="preserve">    </w:t>
      </w:r>
      <w:r>
        <w:rPr>
          <w:rFonts w:hint="eastAsia" w:ascii="Times New Roman" w:hAnsi="Times New Roman" w:cs="宋体"/>
          <w:color w:val="auto"/>
          <w:kern w:val="2"/>
          <w:sz w:val="24"/>
          <w:szCs w:val="24"/>
          <w:lang w:eastAsia="zh-CN"/>
        </w:rPr>
        <w:t>日</w:t>
      </w:r>
    </w:p>
    <w:p>
      <w:pPr>
        <w:pStyle w:val="3"/>
        <w:rPr>
          <w:rFonts w:hint="default"/>
          <w:b/>
          <w:bCs/>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Njk0Y2JjYTU0NTAxNmFiM2I2MzJlOWU5MmU5NzYifQ=="/>
  </w:docVars>
  <w:rsids>
    <w:rsidRoot w:val="00000000"/>
    <w:rsid w:val="37DB4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Calibri"/>
      <w:szCs w:val="21"/>
    </w:rPr>
  </w:style>
  <w:style w:type="paragraph" w:customStyle="1" w:styleId="3">
    <w:name w:val="目录 53"/>
    <w:next w:val="1"/>
    <w:qFormat/>
    <w:uiPriority w:val="0"/>
    <w:pPr>
      <w:wordWrap w:val="0"/>
      <w:ind w:left="1275"/>
      <w:jc w:val="both"/>
    </w:pPr>
    <w:rPr>
      <w:rFonts w:ascii="Calibri" w:hAnsi="Calibri" w:eastAsia="宋体" w:cs="Times New Roman"/>
      <w:sz w:val="21"/>
      <w:lang w:val="en-US" w:eastAsia="zh-CN" w:bidi="ar-SA"/>
    </w:rPr>
  </w:style>
  <w:style w:type="table" w:styleId="5">
    <w:name w:val="Table Grid"/>
    <w:basedOn w:val="4"/>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2023-04-13T07:26:49Z</dcterms:created>
  <dc:creator>Administrator</dc:creator>
  <cp:lastModifiedBy>T</cp:lastModifiedBy>
  <dcterms:modified xsi:type="dcterms:W3CDTF">2023-04-13T07:29:15Z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AC30453187124EE29DAECBEF2DF62E2C_12</vt:lpwstr>
  </property>
</Properties>
</file>